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sz w:val="28"/>
          <w:szCs w:val="28"/>
        </w:rPr>
      </w:pPr>
      <w:r>
        <w:rPr>
          <w:rFonts w:hint="eastAsia" w:ascii="宋体" w:hAnsi="宋体"/>
          <w:sz w:val="28"/>
          <w:szCs w:val="28"/>
        </w:rPr>
        <w:drawing>
          <wp:anchor distT="0" distB="0" distL="0" distR="0" simplePos="0" relativeHeight="251659264" behindDoc="0" locked="0" layoutInCell="1" allowOverlap="1">
            <wp:simplePos x="0" y="0"/>
            <wp:positionH relativeFrom="column">
              <wp:posOffset>-1130300</wp:posOffset>
            </wp:positionH>
            <wp:positionV relativeFrom="page">
              <wp:posOffset>12700</wp:posOffset>
            </wp:positionV>
            <wp:extent cx="7545070" cy="10671810"/>
            <wp:effectExtent l="0" t="0" r="11430" b="8890"/>
            <wp:wrapNone/>
            <wp:docPr id="1027" name="图片 11" descr="a"/>
            <wp:cNvGraphicFramePr/>
            <a:graphic xmlns:a="http://schemas.openxmlformats.org/drawingml/2006/main">
              <a:graphicData uri="http://schemas.openxmlformats.org/drawingml/2006/picture">
                <pic:pic xmlns:pic="http://schemas.openxmlformats.org/drawingml/2006/picture">
                  <pic:nvPicPr>
                    <pic:cNvPr id="1027" name="图片 11" descr="a"/>
                    <pic:cNvPicPr/>
                  </pic:nvPicPr>
                  <pic:blipFill>
                    <a:blip r:embed="rId4" cstate="print"/>
                    <a:srcRect/>
                    <a:stretch>
                      <a:fillRect/>
                    </a:stretch>
                  </pic:blipFill>
                  <pic:spPr>
                    <a:xfrm>
                      <a:off x="0" y="0"/>
                      <a:ext cx="7545069" cy="10671810"/>
                    </a:xfrm>
                    <a:prstGeom prst="rect">
                      <a:avLst/>
                    </a:prstGeom>
                  </pic:spPr>
                </pic:pic>
              </a:graphicData>
            </a:graphic>
          </wp:anchor>
        </w:drawing>
      </w:r>
      <w:r>
        <w:rPr>
          <w:rFonts w:ascii="宋体" w:hAnsi="宋体"/>
          <w:sz w:val="28"/>
          <w:szCs w:val="28"/>
        </w:rPr>
        <mc:AlternateContent>
          <mc:Choice Requires="wps">
            <w:drawing>
              <wp:anchor distT="0" distB="0" distL="0" distR="0" simplePos="0" relativeHeight="251660288" behindDoc="0" locked="0" layoutInCell="1" allowOverlap="1">
                <wp:simplePos x="0" y="0"/>
                <wp:positionH relativeFrom="column">
                  <wp:posOffset>2926080</wp:posOffset>
                </wp:positionH>
                <wp:positionV relativeFrom="paragraph">
                  <wp:posOffset>4485005</wp:posOffset>
                </wp:positionV>
                <wp:extent cx="2870200" cy="925830"/>
                <wp:effectExtent l="0" t="0" r="0" b="0"/>
                <wp:wrapNone/>
                <wp:docPr id="1028" name="文本框 4"/>
                <wp:cNvGraphicFramePr/>
                <a:graphic xmlns:a="http://schemas.openxmlformats.org/drawingml/2006/main">
                  <a:graphicData uri="http://schemas.microsoft.com/office/word/2010/wordprocessingShape">
                    <wps:wsp>
                      <wps:cNvSpPr/>
                      <wps:spPr>
                        <a:xfrm>
                          <a:off x="0" y="0"/>
                          <a:ext cx="2870200" cy="925829"/>
                        </a:xfrm>
                        <a:prstGeom prst="rect">
                          <a:avLst/>
                        </a:prstGeom>
                        <a:ln>
                          <a:noFill/>
                        </a:ln>
                      </wps:spPr>
                      <wps:txbx>
                        <w:txbxContent>
                          <w:p>
                            <w:pPr>
                              <w:spacing w:line="1400" w:lineRule="exact"/>
                              <w:jc w:val="distribute"/>
                              <w:rPr>
                                <w:rFonts w:ascii="微软雅黑" w:hAnsi="微软雅黑" w:eastAsia="微软雅黑" w:cs="微软雅黑"/>
                                <w:color w:val="7E7E7E"/>
                                <w:sz w:val="72"/>
                                <w:szCs w:val="144"/>
                              </w:rPr>
                            </w:pPr>
                            <w:r>
                              <w:rPr>
                                <w:rFonts w:hint="eastAsia" w:ascii="微软雅黑" w:hAnsi="微软雅黑" w:eastAsia="微软雅黑" w:cs="微软雅黑"/>
                                <w:color w:val="7E7E7E"/>
                                <w:sz w:val="72"/>
                                <w:szCs w:val="144"/>
                              </w:rPr>
                              <w:t>高考篇</w:t>
                            </w:r>
                          </w:p>
                        </w:txbxContent>
                      </wps:txbx>
                      <wps:bodyPr upright="1"/>
                    </wps:wsp>
                  </a:graphicData>
                </a:graphic>
              </wp:anchor>
            </w:drawing>
          </mc:Choice>
          <mc:Fallback>
            <w:pict>
              <v:rect id="文本框 4" o:spid="_x0000_s1026" o:spt="1" style="position:absolute;left:0pt;margin-left:230.4pt;margin-top:353.15pt;height:72.9pt;width:226pt;z-index:251660288;mso-width-relative:page;mso-height-relative:page;" filled="f" stroked="f" coordsize="21600,21600" o:gfxdata="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vCudDcAAAACwEA&#10;AA8AAAAAAAAAAQAgAAAAIgAAAGRycy9kb3ducmV2LnhtbFBLAQIUABQAAAAIAIdO4kCCODvypAEA&#10;ADwDAAAOAAAAAAAAAAEAIAAAACsBAABkcnMvZTJvRG9jLnhtbFBLBQYAAAAABgAGAFkBAABBBQAA&#10;AAA=&#10;">
                <v:fill on="f" focussize="0,0"/>
                <v:stroke on="f"/>
                <v:imagedata o:title=""/>
                <o:lock v:ext="edit" aspectratio="f"/>
                <v:textbox>
                  <w:txbxContent>
                    <w:p>
                      <w:pPr>
                        <w:spacing w:line="1400" w:lineRule="exact"/>
                        <w:jc w:val="distribute"/>
                        <w:rPr>
                          <w:rFonts w:ascii="微软雅黑" w:hAnsi="微软雅黑" w:eastAsia="微软雅黑" w:cs="微软雅黑"/>
                          <w:color w:val="7E7E7E"/>
                          <w:sz w:val="72"/>
                          <w:szCs w:val="144"/>
                        </w:rPr>
                      </w:pPr>
                      <w:r>
                        <w:rPr>
                          <w:rFonts w:hint="eastAsia" w:ascii="微软雅黑" w:hAnsi="微软雅黑" w:eastAsia="微软雅黑" w:cs="微软雅黑"/>
                          <w:color w:val="7E7E7E"/>
                          <w:sz w:val="72"/>
                          <w:szCs w:val="144"/>
                        </w:rPr>
                        <w:t>高考篇</w:t>
                      </w:r>
                    </w:p>
                  </w:txbxContent>
                </v:textbox>
              </v:rect>
            </w:pict>
          </mc:Fallback>
        </mc:AlternateContent>
      </w:r>
      <w:r>
        <w:rPr>
          <w:rFonts w:ascii="宋体" w:hAnsi="宋体"/>
          <w:sz w:val="28"/>
          <w:szCs w:val="28"/>
        </w:rPr>
        <mc:AlternateContent>
          <mc:Choice Requires="wps">
            <w:drawing>
              <wp:anchor distT="0" distB="0" distL="0" distR="0" simplePos="0" relativeHeight="251661312" behindDoc="0" locked="0" layoutInCell="1" allowOverlap="1">
                <wp:simplePos x="0" y="0"/>
                <wp:positionH relativeFrom="column">
                  <wp:posOffset>1704975</wp:posOffset>
                </wp:positionH>
                <wp:positionV relativeFrom="paragraph">
                  <wp:posOffset>3310255</wp:posOffset>
                </wp:positionV>
                <wp:extent cx="4041775" cy="1026795"/>
                <wp:effectExtent l="0" t="0" r="0" b="0"/>
                <wp:wrapNone/>
                <wp:docPr id="1029" name="文本框 5"/>
                <wp:cNvGraphicFramePr/>
                <a:graphic xmlns:a="http://schemas.openxmlformats.org/drawingml/2006/main">
                  <a:graphicData uri="http://schemas.microsoft.com/office/word/2010/wordprocessingShape">
                    <wps:wsp>
                      <wps:cNvSpPr/>
                      <wps:spPr>
                        <a:xfrm>
                          <a:off x="0" y="0"/>
                          <a:ext cx="4041775" cy="1026795"/>
                        </a:xfrm>
                        <a:prstGeom prst="rect">
                          <a:avLst/>
                        </a:prstGeom>
                        <a:ln>
                          <a:noFill/>
                        </a:ln>
                      </wps:spPr>
                      <wps:txbx>
                        <w:txbxContent>
                          <w:p>
                            <w:pPr>
                              <w:spacing w:line="1400" w:lineRule="exact"/>
                              <w:jc w:val="distribute"/>
                              <w:rPr>
                                <w:rFonts w:ascii="微软雅黑" w:hAnsi="微软雅黑" w:eastAsia="微软雅黑" w:cs="微软雅黑"/>
                                <w:b/>
                                <w:bCs/>
                                <w:color w:val="7E7E7E"/>
                                <w:sz w:val="144"/>
                                <w:szCs w:val="180"/>
                              </w:rPr>
                            </w:pPr>
                            <w:r>
                              <w:rPr>
                                <w:rFonts w:hint="eastAsia" w:ascii="微软雅黑" w:hAnsi="微软雅黑" w:eastAsia="微软雅黑" w:cs="微软雅黑"/>
                                <w:b/>
                                <w:bCs/>
                                <w:color w:val="7E7E7E"/>
                                <w:sz w:val="144"/>
                                <w:szCs w:val="180"/>
                              </w:rPr>
                              <w:t>咨询手册</w:t>
                            </w:r>
                          </w:p>
                          <w:p>
                            <w:pPr>
                              <w:spacing w:line="1000" w:lineRule="exact"/>
                              <w:jc w:val="distribute"/>
                              <w:rPr>
                                <w:rFonts w:ascii="微软雅黑" w:hAnsi="微软雅黑" w:eastAsia="微软雅黑" w:cs="微软雅黑"/>
                                <w:color w:val="7E7E7E"/>
                              </w:rPr>
                            </w:pPr>
                          </w:p>
                        </w:txbxContent>
                      </wps:txbx>
                      <wps:bodyPr upright="1"/>
                    </wps:wsp>
                  </a:graphicData>
                </a:graphic>
              </wp:anchor>
            </w:drawing>
          </mc:Choice>
          <mc:Fallback>
            <w:pict>
              <v:rect id="文本框 5" o:spid="_x0000_s1026" o:spt="1" style="position:absolute;left:0pt;margin-left:134.25pt;margin-top:260.65pt;height:80.85pt;width:318.25pt;z-index:251661312;mso-width-relative:page;mso-height-relative:page;" filled="f" stroked="f" coordsize="21600,21600" o:gfxdata="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Ntst9wAAAAL&#10;AQAADwAAAAAAAAABACAAAAAiAAAAZHJzL2Rvd25yZXYueG1sUEsBAhQAFAAAAAgAh07iQJpreKCm&#10;AQAAPQMAAA4AAAAAAAAAAQAgAAAAKwEAAGRycy9lMm9Eb2MueG1sUEsFBgAAAAAGAAYAWQEAAEMF&#10;AAAAAA==&#10;">
                <v:fill on="f" focussize="0,0"/>
                <v:stroke on="f"/>
                <v:imagedata o:title=""/>
                <o:lock v:ext="edit" aspectratio="f"/>
                <v:textbox>
                  <w:txbxContent>
                    <w:p>
                      <w:pPr>
                        <w:spacing w:line="1400" w:lineRule="exact"/>
                        <w:jc w:val="distribute"/>
                        <w:rPr>
                          <w:rFonts w:ascii="微软雅黑" w:hAnsi="微软雅黑" w:eastAsia="微软雅黑" w:cs="微软雅黑"/>
                          <w:b/>
                          <w:bCs/>
                          <w:color w:val="7E7E7E"/>
                          <w:sz w:val="144"/>
                          <w:szCs w:val="180"/>
                        </w:rPr>
                      </w:pPr>
                      <w:r>
                        <w:rPr>
                          <w:rFonts w:hint="eastAsia" w:ascii="微软雅黑" w:hAnsi="微软雅黑" w:eastAsia="微软雅黑" w:cs="微软雅黑"/>
                          <w:b/>
                          <w:bCs/>
                          <w:color w:val="7E7E7E"/>
                          <w:sz w:val="144"/>
                          <w:szCs w:val="180"/>
                        </w:rPr>
                        <w:t>咨询手册</w:t>
                      </w:r>
                    </w:p>
                    <w:p>
                      <w:pPr>
                        <w:spacing w:line="1000" w:lineRule="exact"/>
                        <w:jc w:val="distribute"/>
                        <w:rPr>
                          <w:rFonts w:ascii="微软雅黑" w:hAnsi="微软雅黑" w:eastAsia="微软雅黑" w:cs="微软雅黑"/>
                          <w:color w:val="7E7E7E"/>
                        </w:rPr>
                      </w:pPr>
                    </w:p>
                  </w:txbxContent>
                </v:textbox>
              </v:rect>
            </w:pict>
          </mc:Fallback>
        </mc:AlternateContent>
      </w:r>
      <w:r>
        <w:rPr>
          <w:rFonts w:ascii="宋体" w:hAnsi="宋体"/>
          <w:sz w:val="28"/>
          <w:szCs w:val="28"/>
        </w:rPr>
        <mc:AlternateContent>
          <mc:Choice Requires="wps">
            <w:drawing>
              <wp:anchor distT="0" distB="0" distL="0" distR="0" simplePos="0" relativeHeight="251662336" behindDoc="0" locked="0" layoutInCell="1" allowOverlap="1">
                <wp:simplePos x="0" y="0"/>
                <wp:positionH relativeFrom="column">
                  <wp:posOffset>1744980</wp:posOffset>
                </wp:positionH>
                <wp:positionV relativeFrom="paragraph">
                  <wp:posOffset>4178935</wp:posOffset>
                </wp:positionV>
                <wp:extent cx="3976370" cy="523875"/>
                <wp:effectExtent l="0" t="0" r="0" b="0"/>
                <wp:wrapNone/>
                <wp:docPr id="1030" name="文本框 9"/>
                <wp:cNvGraphicFramePr/>
                <a:graphic xmlns:a="http://schemas.openxmlformats.org/drawingml/2006/main">
                  <a:graphicData uri="http://schemas.microsoft.com/office/word/2010/wordprocessingShape">
                    <wps:wsp>
                      <wps:cNvSpPr/>
                      <wps:spPr>
                        <a:xfrm>
                          <a:off x="0" y="0"/>
                          <a:ext cx="3976369" cy="523875"/>
                        </a:xfrm>
                        <a:prstGeom prst="rect">
                          <a:avLst/>
                        </a:prstGeom>
                        <a:ln>
                          <a:noFill/>
                        </a:ln>
                      </wps:spPr>
                      <wps:txbx>
                        <w:txbxContent>
                          <w:p>
                            <w:pPr>
                              <w:jc w:val="distribute"/>
                            </w:pPr>
                          </w:p>
                        </w:txbxContent>
                      </wps:txbx>
                      <wps:bodyPr vert="horz" wrap="square" lIns="91440" tIns="45720" rIns="91440" bIns="45720" anchor="t">
                        <a:noAutofit/>
                      </wps:bodyPr>
                    </wps:wsp>
                  </a:graphicData>
                </a:graphic>
              </wp:anchor>
            </w:drawing>
          </mc:Choice>
          <mc:Fallback>
            <w:pict>
              <v:rect id="文本框 9" o:spid="_x0000_s1026" o:spt="1" style="position:absolute;left:0pt;margin-left:137.4pt;margin-top:329.05pt;height:41.25pt;width:313.1pt;z-index:251662336;mso-width-relative:page;mso-height-relative:page;" filled="f" stroked="f" coordsize="21600,21600" o:gfxdata="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OOYKfcAAAACwEAAA8A&#10;AAAAAAAAAQAgAAAAIgAAAGRycy9kb3ducmV2LnhtbFBLAQIUABQAAAAIAIdO4kBawxG+2gEAAKMD&#10;AAAOAAAAAAAAAAEAIAAAACsBAABkcnMvZTJvRG9jLnhtbFBLBQYAAAAABgAGAFkBAAB3BQAAAAA=&#10;">
                <v:fill on="f" focussize="0,0"/>
                <v:stroke on="f"/>
                <v:imagedata o:title=""/>
                <o:lock v:ext="edit" aspectratio="f"/>
                <v:textbox>
                  <w:txbxContent>
                    <w:p>
                      <w:pPr>
                        <w:jc w:val="distribute"/>
                      </w:pPr>
                    </w:p>
                  </w:txbxContent>
                </v:textbox>
              </v:rect>
            </w:pict>
          </mc:Fallback>
        </mc:AlternateContent>
      </w:r>
      <w:r>
        <w:rPr>
          <w:rFonts w:ascii="宋体" w:hAnsi="宋体"/>
          <w:sz w:val="28"/>
          <w:szCs w:val="28"/>
        </w:rPr>
        <mc:AlternateContent>
          <mc:Choice Requires="wps">
            <w:drawing>
              <wp:anchor distT="0" distB="0" distL="0" distR="0" simplePos="0" relativeHeight="251663360" behindDoc="0" locked="0" layoutInCell="1" allowOverlap="1">
                <wp:simplePos x="0" y="0"/>
                <wp:positionH relativeFrom="column">
                  <wp:posOffset>412750</wp:posOffset>
                </wp:positionH>
                <wp:positionV relativeFrom="paragraph">
                  <wp:posOffset>9152255</wp:posOffset>
                </wp:positionV>
                <wp:extent cx="4530725" cy="434340"/>
                <wp:effectExtent l="0" t="0" r="0" b="0"/>
                <wp:wrapNone/>
                <wp:docPr id="1031" name="文本框 10"/>
                <wp:cNvGraphicFramePr/>
                <a:graphic xmlns:a="http://schemas.openxmlformats.org/drawingml/2006/main">
                  <a:graphicData uri="http://schemas.microsoft.com/office/word/2010/wordprocessingShape">
                    <wps:wsp>
                      <wps:cNvSpPr/>
                      <wps:spPr>
                        <a:xfrm>
                          <a:off x="0" y="0"/>
                          <a:ext cx="4530725" cy="434340"/>
                        </a:xfrm>
                        <a:prstGeom prst="rect">
                          <a:avLst/>
                        </a:prstGeom>
                        <a:ln>
                          <a:noFill/>
                        </a:ln>
                      </wps:spPr>
                      <wps:txbx>
                        <w:txbxContent>
                          <w:p>
                            <w:pPr>
                              <w:jc w:val="distribute"/>
                              <w:rPr>
                                <w:rFonts w:ascii="微软雅黑 Light" w:hAnsi="微软雅黑 Light" w:eastAsia="微软雅黑 Light" w:cs="微软雅黑 Light"/>
                                <w:sz w:val="28"/>
                                <w:szCs w:val="36"/>
                              </w:rPr>
                            </w:pPr>
                            <w:r>
                              <w:rPr>
                                <w:rFonts w:hint="eastAsia" w:ascii="微软雅黑 Light" w:hAnsi="微软雅黑 Light" w:eastAsia="微软雅黑 Light" w:cs="微软雅黑 Light"/>
                                <w:sz w:val="28"/>
                                <w:szCs w:val="36"/>
                              </w:rPr>
                              <w:t>成都文理学院招生就业服务中心</w:t>
                            </w:r>
                          </w:p>
                        </w:txbxContent>
                      </wps:txbx>
                      <wps:bodyPr upright="1"/>
                    </wps:wsp>
                  </a:graphicData>
                </a:graphic>
              </wp:anchor>
            </w:drawing>
          </mc:Choice>
          <mc:Fallback>
            <w:pict>
              <v:rect id="文本框 10" o:spid="_x0000_s1026" o:spt="1" style="position:absolute;left:0pt;margin-left:32.5pt;margin-top:720.65pt;height:34.2pt;width:356.75pt;z-index:251663360;mso-width-relative:page;mso-height-relative:page;" filled="f" stroked="f" coordsize="21600,21600" o:gfxdata="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rNJd0AAAAM&#10;AQAADwAAAAAAAAABACAAAAAiAAAAZHJzL2Rvd25yZXYueG1sUEsBAhQAFAAAAAgAh07iQDCKuLil&#10;AQAAPQMAAA4AAAAAAAAAAQAgAAAALAEAAGRycy9lMm9Eb2MueG1sUEsFBgAAAAAGAAYAWQEAAEMF&#10;AAAAAA==&#10;">
                <v:fill on="f" focussize="0,0"/>
                <v:stroke on="f"/>
                <v:imagedata o:title=""/>
                <o:lock v:ext="edit" aspectratio="f"/>
                <v:textbox>
                  <w:txbxContent>
                    <w:p>
                      <w:pPr>
                        <w:jc w:val="distribute"/>
                        <w:rPr>
                          <w:rFonts w:ascii="微软雅黑 Light" w:hAnsi="微软雅黑 Light" w:eastAsia="微软雅黑 Light" w:cs="微软雅黑 Light"/>
                          <w:sz w:val="28"/>
                          <w:szCs w:val="36"/>
                        </w:rPr>
                      </w:pPr>
                      <w:r>
                        <w:rPr>
                          <w:rFonts w:hint="eastAsia" w:ascii="微软雅黑 Light" w:hAnsi="微软雅黑 Light" w:eastAsia="微软雅黑 Light" w:cs="微软雅黑 Light"/>
                          <w:sz w:val="28"/>
                          <w:szCs w:val="36"/>
                        </w:rPr>
                        <w:t>成都文理学院招生就业服务中心</w:t>
                      </w:r>
                    </w:p>
                  </w:txbxContent>
                </v:textbox>
              </v:rect>
            </w:pict>
          </mc:Fallback>
        </mc:AlternateContent>
      </w:r>
      <w:r>
        <w:rPr>
          <w:rFonts w:ascii="宋体" w:hAnsi="宋体"/>
          <w:sz w:val="28"/>
          <w:szCs w:val="28"/>
        </w:rPr>
        <mc:AlternateContent>
          <mc:Choice Requires="wps">
            <w:drawing>
              <wp:anchor distT="0" distB="0" distL="0" distR="0" simplePos="0" relativeHeight="251664384" behindDoc="0" locked="0" layoutInCell="1" allowOverlap="1">
                <wp:simplePos x="0" y="0"/>
                <wp:positionH relativeFrom="column">
                  <wp:posOffset>-610870</wp:posOffset>
                </wp:positionH>
                <wp:positionV relativeFrom="paragraph">
                  <wp:posOffset>-508000</wp:posOffset>
                </wp:positionV>
                <wp:extent cx="1283335" cy="566420"/>
                <wp:effectExtent l="0" t="0" r="0" b="0"/>
                <wp:wrapNone/>
                <wp:docPr id="1032" name="文本框 8"/>
                <wp:cNvGraphicFramePr/>
                <a:graphic xmlns:a="http://schemas.openxmlformats.org/drawingml/2006/main">
                  <a:graphicData uri="http://schemas.microsoft.com/office/word/2010/wordprocessingShape">
                    <wps:wsp>
                      <wps:cNvSpPr/>
                      <wps:spPr>
                        <a:xfrm>
                          <a:off x="0" y="0"/>
                          <a:ext cx="1283335" cy="566420"/>
                        </a:xfrm>
                        <a:prstGeom prst="rect">
                          <a:avLst/>
                        </a:prstGeom>
                        <a:ln>
                          <a:noFill/>
                        </a:ln>
                      </wps:spPr>
                      <wps:txbx>
                        <w:txbxContent>
                          <w:p>
                            <w:pPr>
                              <w:rPr>
                                <w:rFonts w:hAnsi="兰米大黑" w:eastAsia="兰米大黑" w:cs="兰米大黑"/>
                                <w:b/>
                                <w:bCs/>
                                <w:color w:val="7E7E7E"/>
                                <w:sz w:val="44"/>
                                <w:szCs w:val="52"/>
                              </w:rPr>
                            </w:pPr>
                          </w:p>
                        </w:txbxContent>
                      </wps:txbx>
                      <wps:bodyPr vert="horz" wrap="square" lIns="91440" tIns="45720" rIns="91440" bIns="45720" anchor="t">
                        <a:noAutofit/>
                      </wps:bodyPr>
                    </wps:wsp>
                  </a:graphicData>
                </a:graphic>
              </wp:anchor>
            </w:drawing>
          </mc:Choice>
          <mc:Fallback>
            <w:pict>
              <v:rect id="文本框 8" o:spid="_x0000_s1026" o:spt="1" style="position:absolute;left:0pt;margin-left:-48.1pt;margin-top:-40pt;height:44.6pt;width:101.05pt;z-index:251664384;mso-width-relative:page;mso-height-relative:page;" filled="f" stroked="f" coordsize="21600,21600" o:gfxdata="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42Q102QAAAAkBAAAPAAAA&#10;AAAAAAEAIAAAACIAAABkcnMvZG93bnJldi54bWxQSwECFAAUAAAACACHTuJAHI+kLdsBAACjAwAA&#10;DgAAAAAAAAABACAAAAAoAQAAZHJzL2Uyb0RvYy54bWxQSwUGAAAAAAYABgBZAQAAdQUAAAAA&#10;">
                <v:fill on="f" focussize="0,0"/>
                <v:stroke on="f"/>
                <v:imagedata o:title=""/>
                <o:lock v:ext="edit" aspectratio="f"/>
                <v:textbox>
                  <w:txbxContent>
                    <w:p>
                      <w:pPr>
                        <w:rPr>
                          <w:rFonts w:hAnsi="兰米大黑" w:eastAsia="兰米大黑" w:cs="兰米大黑"/>
                          <w:b/>
                          <w:bCs/>
                          <w:color w:val="7E7E7E"/>
                          <w:sz w:val="44"/>
                          <w:szCs w:val="52"/>
                        </w:rPr>
                      </w:pPr>
                    </w:p>
                  </w:txbxContent>
                </v:textbox>
              </v:rect>
            </w:pict>
          </mc:Fallback>
        </mc:AlternateContent>
      </w:r>
    </w:p>
    <w:p>
      <w:pPr>
        <w:spacing w:line="360" w:lineRule="auto"/>
        <w:rPr>
          <w:rFonts w:ascii="宋体" w:hAnsi="宋体" w:cs="华文中宋"/>
          <w:b/>
          <w:bCs/>
          <w:sz w:val="28"/>
          <w:szCs w:val="28"/>
        </w:rPr>
        <w:sectPr>
          <w:pgSz w:w="11906" w:h="16838"/>
          <w:pgMar w:top="1440" w:right="1800" w:bottom="1440" w:left="1800" w:header="851" w:footer="992" w:gutter="0"/>
          <w:cols w:space="425" w:num="1"/>
          <w:docGrid w:type="lines" w:linePitch="312" w:charSpace="0"/>
        </w:sectPr>
      </w:pPr>
    </w:p>
    <w:p>
      <w:pPr>
        <w:spacing w:line="360" w:lineRule="auto"/>
        <w:rPr>
          <w:rFonts w:ascii="宋体" w:hAnsi="宋体" w:cs="华文中宋"/>
          <w:b/>
          <w:bCs/>
          <w:sz w:val="28"/>
          <w:szCs w:val="28"/>
        </w:rPr>
      </w:pPr>
      <w:r>
        <w:rPr>
          <w:rFonts w:hint="eastAsia" w:ascii="宋体" w:hAnsi="宋体" w:cs="华文中宋"/>
          <w:b/>
          <w:bCs/>
          <w:sz w:val="28"/>
          <w:szCs w:val="28"/>
        </w:rPr>
        <w:t>1.你们学校代码是多少？</w:t>
      </w:r>
    </w:p>
    <w:p>
      <w:pPr>
        <w:spacing w:line="360" w:lineRule="auto"/>
        <w:rPr>
          <w:rFonts w:ascii="宋体" w:hAnsi="宋体" w:cs="华文中宋"/>
          <w:b/>
          <w:bCs/>
          <w:sz w:val="28"/>
          <w:szCs w:val="28"/>
        </w:rPr>
      </w:pPr>
      <w:r>
        <w:rPr>
          <w:rFonts w:hint="eastAsia" w:ascii="宋体" w:hAnsi="宋体" w:cs="华文中宋"/>
          <w:b/>
          <w:bCs/>
          <w:sz w:val="28"/>
          <w:szCs w:val="28"/>
        </w:rPr>
        <w:t>答</w:t>
      </w:r>
      <w:r>
        <w:rPr>
          <w:rFonts w:hint="eastAsia" w:ascii="宋体" w:hAnsi="宋体" w:cs="华文中宋"/>
          <w:b/>
          <w:bCs/>
          <w:sz w:val="28"/>
          <w:szCs w:val="28"/>
          <w:lang w:eastAsia="zh-CN"/>
        </w:rPr>
        <w:t>：</w:t>
      </w:r>
      <w:r>
        <w:rPr>
          <w:rFonts w:hint="eastAsia" w:ascii="宋体" w:hAnsi="宋体" w:cs="华文中宋"/>
          <w:sz w:val="28"/>
          <w:szCs w:val="28"/>
        </w:rPr>
        <w:t>四川：5747；省外代码：（见当地考试报代码、成都文理学院招生处微信公众号2</w:t>
      </w:r>
      <w:r>
        <w:rPr>
          <w:rFonts w:ascii="宋体" w:hAnsi="宋体" w:cs="华文中宋"/>
          <w:sz w:val="28"/>
          <w:szCs w:val="28"/>
        </w:rPr>
        <w:t>023</w:t>
      </w:r>
      <w:r>
        <w:rPr>
          <w:rFonts w:hint="eastAsia" w:ascii="宋体" w:hAnsi="宋体" w:cs="华文中宋"/>
          <w:sz w:val="28"/>
          <w:szCs w:val="28"/>
        </w:rPr>
        <w:t>年招生计划推文）</w:t>
      </w:r>
    </w:p>
    <w:p>
      <w:pPr>
        <w:spacing w:line="360" w:lineRule="auto"/>
        <w:rPr>
          <w:rFonts w:ascii="宋体" w:hAnsi="宋体" w:cs="华文中宋"/>
          <w:b/>
          <w:bCs/>
          <w:sz w:val="28"/>
          <w:szCs w:val="28"/>
        </w:rPr>
      </w:pPr>
      <w:r>
        <w:rPr>
          <w:rFonts w:hint="eastAsia" w:ascii="宋体" w:hAnsi="宋体" w:cs="华文中宋"/>
          <w:b/>
          <w:bCs/>
          <w:sz w:val="28"/>
          <w:szCs w:val="28"/>
        </w:rPr>
        <w:t>2.你们学校是属于什么性质？</w:t>
      </w:r>
    </w:p>
    <w:p>
      <w:pPr>
        <w:spacing w:line="360" w:lineRule="auto"/>
        <w:rPr>
          <w:rFonts w:ascii="宋体" w:hAnsi="宋体" w:cs="华文中宋"/>
          <w:b/>
          <w:bCs/>
          <w:sz w:val="28"/>
          <w:szCs w:val="28"/>
        </w:rPr>
      </w:pPr>
      <w:r>
        <w:rPr>
          <w:rFonts w:hint="eastAsia" w:ascii="宋体" w:hAnsi="宋体" w:cs="华文中宋"/>
          <w:sz w:val="28"/>
          <w:szCs w:val="28"/>
        </w:rPr>
        <w:t>答：全日制民办普通本科高等学校</w:t>
      </w:r>
      <w:r>
        <w:rPr>
          <w:rFonts w:hint="eastAsia" w:ascii="宋体" w:hAnsi="宋体" w:cs="华文中宋"/>
          <w:b/>
          <w:bCs/>
          <w:sz w:val="28"/>
          <w:szCs w:val="28"/>
        </w:rPr>
        <w:t>。</w:t>
      </w:r>
    </w:p>
    <w:p>
      <w:pPr>
        <w:spacing w:line="360" w:lineRule="auto"/>
        <w:rPr>
          <w:rFonts w:ascii="宋体" w:hAnsi="宋体" w:cs="华文中宋"/>
          <w:b/>
          <w:bCs/>
          <w:sz w:val="28"/>
          <w:szCs w:val="28"/>
        </w:rPr>
      </w:pPr>
      <w:r>
        <w:rPr>
          <w:rFonts w:hint="eastAsia" w:ascii="宋体" w:hAnsi="宋体" w:cs="华文中宋"/>
          <w:b/>
          <w:bCs/>
          <w:sz w:val="28"/>
          <w:szCs w:val="28"/>
        </w:rPr>
        <w:t>3.你们是四川师范大学文理学院还是成都文理学院？</w:t>
      </w:r>
    </w:p>
    <w:p>
      <w:pPr>
        <w:spacing w:line="360" w:lineRule="auto"/>
        <w:rPr>
          <w:rFonts w:ascii="宋体" w:hAnsi="宋体" w:cs="华文中宋"/>
          <w:sz w:val="28"/>
          <w:szCs w:val="28"/>
        </w:rPr>
      </w:pPr>
      <w:r>
        <w:rPr>
          <w:rFonts w:hint="eastAsia" w:ascii="宋体" w:hAnsi="宋体" w:cs="华文中宋"/>
          <w:sz w:val="28"/>
          <w:szCs w:val="28"/>
        </w:rPr>
        <w:t>答：我校是一所全日制省属普通本科高校，学校始建于1999年，2004经教育部批准设立四川师范大学文理学院，2014年经教育部批准成立成都文理学院。</w:t>
      </w:r>
    </w:p>
    <w:p>
      <w:pPr>
        <w:spacing w:line="360" w:lineRule="auto"/>
        <w:rPr>
          <w:rFonts w:ascii="宋体" w:hAnsi="宋体" w:cs="华文中宋"/>
          <w:b/>
          <w:bCs/>
          <w:sz w:val="28"/>
          <w:szCs w:val="28"/>
        </w:rPr>
      </w:pPr>
      <w:r>
        <w:rPr>
          <w:rFonts w:hint="eastAsia" w:ascii="宋体" w:hAnsi="宋体" w:cs="华文中宋"/>
          <w:b/>
          <w:bCs/>
          <w:sz w:val="28"/>
          <w:szCs w:val="28"/>
        </w:rPr>
        <w:t>4.你们学校有多少个校区呢？</w:t>
      </w:r>
    </w:p>
    <w:p>
      <w:pPr>
        <w:spacing w:line="360" w:lineRule="auto"/>
        <w:rPr>
          <w:rFonts w:ascii="宋体" w:hAnsi="宋体" w:cs="华文中宋"/>
          <w:sz w:val="28"/>
          <w:szCs w:val="28"/>
        </w:rPr>
      </w:pPr>
      <w:r>
        <w:rPr>
          <w:rFonts w:hint="eastAsia" w:ascii="宋体" w:hAnsi="宋体" w:cs="华文中宋"/>
          <w:sz w:val="28"/>
          <w:szCs w:val="28"/>
        </w:rPr>
        <w:t>答：学校一共有两个校区，分为洪河校区和金堂校区，所有层次及专业的学生都在金堂校区进行学习。</w:t>
      </w:r>
    </w:p>
    <w:p>
      <w:pPr>
        <w:spacing w:line="360" w:lineRule="auto"/>
        <w:rPr>
          <w:rFonts w:ascii="宋体" w:hAnsi="宋体" w:cs="华文中宋"/>
          <w:b/>
          <w:bCs/>
          <w:sz w:val="28"/>
          <w:szCs w:val="28"/>
        </w:rPr>
      </w:pPr>
      <w:r>
        <w:rPr>
          <w:rFonts w:hint="eastAsia" w:ascii="宋体" w:hAnsi="宋体" w:cs="华文中宋"/>
          <w:b/>
          <w:bCs/>
          <w:sz w:val="28"/>
          <w:szCs w:val="28"/>
        </w:rPr>
        <w:t>5.学费一年多少？除了学费还有没有什么其他的费用（明细）？</w:t>
      </w:r>
    </w:p>
    <w:p>
      <w:pPr>
        <w:tabs>
          <w:tab w:val="left" w:pos="1093"/>
        </w:tabs>
        <w:spacing w:line="360" w:lineRule="auto"/>
        <w:rPr>
          <w:rFonts w:ascii="宋体" w:hAnsi="宋体" w:cs="华文中宋"/>
          <w:sz w:val="28"/>
          <w:szCs w:val="28"/>
        </w:rPr>
      </w:pPr>
      <w:r>
        <w:rPr>
          <w:rFonts w:hint="eastAsia" w:ascii="宋体" w:hAnsi="宋体" w:cs="华文中宋"/>
          <w:sz w:val="28"/>
          <w:szCs w:val="28"/>
        </w:rPr>
        <w:t>答：普通类17000元/年，艺体类19000元/年；住宿费：1200元/每年（八人间），1400元/每年（六人间）；新生第一年还会有学杂费，其中包括预收教材费、军训、体检、保险、卧具代购等，2</w:t>
      </w:r>
      <w:r>
        <w:rPr>
          <w:rFonts w:ascii="宋体" w:hAnsi="宋体" w:cs="华文中宋"/>
          <w:sz w:val="28"/>
          <w:szCs w:val="28"/>
        </w:rPr>
        <w:t>500</w:t>
      </w:r>
      <w:r>
        <w:rPr>
          <w:rFonts w:hint="eastAsia" w:ascii="宋体" w:hAnsi="宋体" w:cs="华文中宋"/>
          <w:sz w:val="28"/>
          <w:szCs w:val="28"/>
        </w:rPr>
        <w:t>元左右，具体可参看录取通知书内附的《新生入学须知》。</w:t>
      </w:r>
    </w:p>
    <w:p>
      <w:pPr>
        <w:spacing w:line="360" w:lineRule="auto"/>
        <w:rPr>
          <w:rFonts w:ascii="宋体" w:hAnsi="宋体" w:cs="华文中宋"/>
          <w:b/>
          <w:bCs/>
          <w:sz w:val="28"/>
          <w:szCs w:val="28"/>
        </w:rPr>
      </w:pPr>
      <w:r>
        <w:rPr>
          <w:rFonts w:hint="eastAsia" w:ascii="宋体" w:hAnsi="宋体" w:cs="华文中宋"/>
          <w:b/>
          <w:bCs/>
          <w:sz w:val="28"/>
          <w:szCs w:val="28"/>
        </w:rPr>
        <w:t>6.学校有没有相关资助政策呢？</w:t>
      </w:r>
    </w:p>
    <w:p>
      <w:pPr>
        <w:tabs>
          <w:tab w:val="left" w:pos="1093"/>
        </w:tabs>
        <w:spacing w:line="360" w:lineRule="auto"/>
        <w:rPr>
          <w:rFonts w:ascii="宋体" w:hAnsi="宋体" w:cs="华文中宋"/>
          <w:sz w:val="28"/>
          <w:szCs w:val="28"/>
        </w:rPr>
      </w:pPr>
      <w:r>
        <w:rPr>
          <w:rFonts w:hint="eastAsia" w:ascii="宋体" w:hAnsi="宋体" w:cs="华文中宋"/>
          <w:sz w:val="28"/>
          <w:szCs w:val="28"/>
        </w:rPr>
        <w:t>答；国家奖学金（8000元/年/人）、国家励志奖学金（5000元/年/人）、校级学习奖学金（最高2000元/年/人），还设立有社会工作、省级优秀大学毕业生、创新创业奖学金等；家庭经济困难的学生可申请国家助学金（最高4500元/年/人），同时还可申请生源地信用助学贷款（12000元/年/人）。</w:t>
      </w:r>
    </w:p>
    <w:p>
      <w:pPr>
        <w:spacing w:line="360" w:lineRule="auto"/>
        <w:rPr>
          <w:rFonts w:ascii="宋体" w:hAnsi="宋体" w:cs="华文中宋"/>
          <w:b/>
          <w:bCs/>
          <w:sz w:val="28"/>
          <w:szCs w:val="28"/>
        </w:rPr>
      </w:pPr>
      <w:r>
        <w:rPr>
          <w:rFonts w:hint="eastAsia" w:ascii="宋体" w:hAnsi="宋体" w:cs="华文中宋"/>
          <w:b/>
          <w:bCs/>
          <w:sz w:val="28"/>
          <w:szCs w:val="28"/>
        </w:rPr>
        <w:t>7.你们学校师资力量怎么样？</w:t>
      </w:r>
    </w:p>
    <w:p>
      <w:pPr>
        <w:spacing w:line="360" w:lineRule="auto"/>
        <w:rPr>
          <w:rFonts w:ascii="sans-serif" w:hAnsi="sans-serif" w:eastAsia="sans-serif" w:cs="sans-serif"/>
          <w:color w:val="000000"/>
          <w:sz w:val="12"/>
          <w:szCs w:val="12"/>
        </w:rPr>
      </w:pPr>
      <w:r>
        <w:rPr>
          <w:rFonts w:hint="eastAsia" w:ascii="宋体" w:hAnsi="宋体" w:cs="华文中宋"/>
          <w:sz w:val="28"/>
          <w:szCs w:val="28"/>
        </w:rPr>
        <w:t>答：学校师资力量雄厚，学校现有专任教师1600余人，教师中拥有享受国务院政府特殊津贴专家、全国优秀社科普及专家、教育部全国艺术教育委员会委员、国家教材委专家委员会委员、教育部全国普通高校毕业生就业创业指导委员会委员、省级教学名师等20余人；有省级教学团队2个。近3年，学校教师获省级及以上教学比赛奖项40余项。</w:t>
      </w:r>
      <w:r>
        <w:rPr>
          <w:rFonts w:ascii="sans-serif" w:hAnsi="sans-serif" w:eastAsia="sans-serif" w:cs="sans-serif"/>
          <w:color w:val="000000"/>
          <w:sz w:val="12"/>
          <w:szCs w:val="12"/>
        </w:rPr>
        <w:t>   </w:t>
      </w:r>
    </w:p>
    <w:p>
      <w:pPr>
        <w:spacing w:line="360" w:lineRule="auto"/>
        <w:rPr>
          <w:rFonts w:ascii="宋体" w:hAnsi="宋体" w:cs="华文中宋"/>
          <w:b/>
          <w:bCs/>
          <w:sz w:val="28"/>
          <w:szCs w:val="28"/>
        </w:rPr>
      </w:pPr>
      <w:r>
        <w:rPr>
          <w:rFonts w:hint="eastAsia" w:ascii="宋体" w:hAnsi="宋体" w:cs="华文中宋"/>
          <w:b/>
          <w:bCs/>
          <w:sz w:val="28"/>
          <w:szCs w:val="28"/>
        </w:rPr>
        <w:t>8.你们学校的王牌专业是什么？</w:t>
      </w:r>
    </w:p>
    <w:p>
      <w:pPr>
        <w:spacing w:line="360" w:lineRule="auto"/>
        <w:rPr>
          <w:rFonts w:ascii="宋体" w:hAnsi="宋体" w:cs="华文中宋"/>
          <w:sz w:val="28"/>
          <w:szCs w:val="28"/>
        </w:rPr>
      </w:pPr>
      <w:r>
        <w:rPr>
          <w:rFonts w:hint="eastAsia" w:ascii="宋体" w:hAnsi="宋体" w:cs="华文中宋"/>
          <w:sz w:val="28"/>
          <w:szCs w:val="28"/>
        </w:rPr>
        <w:t>答：先了解考生分数，意向专业，未来的就业规划等等，再进行专业推荐，所有专业录取没有分数级差，因为我们各专业所配备的教育资源和师资力量都是等同的，专业的选择可以根据考生自身的兴趣和最终就业的选择来定。</w:t>
      </w:r>
    </w:p>
    <w:p>
      <w:pPr>
        <w:spacing w:line="360" w:lineRule="auto"/>
        <w:rPr>
          <w:rFonts w:ascii="宋体" w:hAnsi="宋体" w:cs="华文中宋"/>
          <w:b/>
          <w:bCs/>
          <w:sz w:val="28"/>
          <w:szCs w:val="28"/>
        </w:rPr>
      </w:pPr>
      <w:r>
        <w:rPr>
          <w:rFonts w:hint="eastAsia" w:ascii="宋体" w:hAnsi="宋体" w:cs="华文中宋"/>
          <w:b/>
          <w:bCs/>
          <w:sz w:val="28"/>
          <w:szCs w:val="28"/>
        </w:rPr>
        <w:t>9.你们有哪些推荐的热门专业呢？</w:t>
      </w:r>
    </w:p>
    <w:p>
      <w:pPr>
        <w:spacing w:line="360" w:lineRule="auto"/>
        <w:rPr>
          <w:rFonts w:ascii="宋体" w:hAnsi="宋体" w:cs="华文中宋"/>
          <w:color w:val="333333"/>
          <w:sz w:val="28"/>
          <w:szCs w:val="28"/>
          <w:shd w:val="clear" w:color="auto" w:fill="FFFFFF"/>
        </w:rPr>
      </w:pPr>
      <w:r>
        <w:rPr>
          <w:rFonts w:hint="eastAsia" w:ascii="宋体" w:hAnsi="宋体" w:cs="华文中宋"/>
          <w:color w:val="333333"/>
          <w:sz w:val="28"/>
          <w:szCs w:val="28"/>
          <w:shd w:val="clear" w:color="auto" w:fill="FFFFFF"/>
        </w:rPr>
        <w:t>答：首先询问文理科，再是分数，其次是孩子兴趣，综合考虑后酌情推荐。参与电话咨询的老师也可根据咨询对象的实际情况着重推荐本学院专业。</w:t>
      </w:r>
    </w:p>
    <w:p>
      <w:pPr>
        <w:spacing w:line="360" w:lineRule="auto"/>
        <w:rPr>
          <w:rFonts w:ascii="宋体" w:hAnsi="宋体" w:cs="华文中宋"/>
          <w:b/>
          <w:bCs/>
          <w:sz w:val="28"/>
          <w:szCs w:val="28"/>
        </w:rPr>
      </w:pPr>
      <w:r>
        <w:rPr>
          <w:rFonts w:hint="eastAsia" w:ascii="宋体" w:hAnsi="宋体" w:cs="华文中宋"/>
          <w:b/>
          <w:bCs/>
          <w:sz w:val="28"/>
          <w:szCs w:val="28"/>
        </w:rPr>
        <w:t>10.不喜欢这个专业可以换吗？</w:t>
      </w:r>
    </w:p>
    <w:p>
      <w:pPr>
        <w:spacing w:line="360" w:lineRule="auto"/>
        <w:rPr>
          <w:rFonts w:ascii="宋体" w:hAnsi="宋体" w:cs="华文中宋"/>
          <w:sz w:val="28"/>
          <w:szCs w:val="28"/>
        </w:rPr>
      </w:pPr>
      <w:r>
        <w:rPr>
          <w:rFonts w:hint="eastAsia" w:ascii="宋体" w:hAnsi="宋体" w:cs="华文中宋"/>
          <w:sz w:val="28"/>
          <w:szCs w:val="28"/>
        </w:rPr>
        <w:t>答：在符合高考录取条件的前提下，新生报到入学以后可以向教务处提交申请，在双方专业院内同意后再根据自己的意愿可在大一第一学期12月或第二学期</w:t>
      </w:r>
      <w:r>
        <w:rPr>
          <w:rFonts w:ascii="宋体" w:hAnsi="宋体" w:cs="华文中宋"/>
          <w:sz w:val="28"/>
          <w:szCs w:val="28"/>
        </w:rPr>
        <w:t>6</w:t>
      </w:r>
      <w:r>
        <w:rPr>
          <w:rFonts w:hint="eastAsia" w:ascii="宋体" w:hAnsi="宋体" w:cs="华文中宋"/>
          <w:sz w:val="28"/>
          <w:szCs w:val="28"/>
        </w:rPr>
        <w:t>月在同层次同类别原则下申请一次调换专业。具体转专业情况还要视当年政策而定。</w:t>
      </w:r>
    </w:p>
    <w:p>
      <w:pPr>
        <w:spacing w:line="360" w:lineRule="auto"/>
        <w:rPr>
          <w:rFonts w:ascii="宋体" w:hAnsi="宋体" w:cs="华文中宋"/>
          <w:b/>
          <w:bCs/>
          <w:sz w:val="28"/>
          <w:szCs w:val="28"/>
        </w:rPr>
      </w:pPr>
      <w:r>
        <w:rPr>
          <w:rFonts w:hint="eastAsia" w:ascii="宋体" w:hAnsi="宋体" w:cs="华文中宋"/>
          <w:b/>
          <w:bCs/>
          <w:sz w:val="28"/>
          <w:szCs w:val="28"/>
        </w:rPr>
        <w:t>11.哪些专业最好就业？就业去向有哪些？</w:t>
      </w:r>
    </w:p>
    <w:p>
      <w:pPr>
        <w:spacing w:line="360" w:lineRule="auto"/>
        <w:rPr>
          <w:rFonts w:ascii="宋体" w:hAnsi="宋体" w:cs="华文中宋"/>
          <w:color w:val="333333"/>
          <w:sz w:val="28"/>
          <w:szCs w:val="28"/>
          <w:shd w:val="clear" w:color="auto" w:fill="FFFFFF"/>
        </w:rPr>
      </w:pPr>
      <w:r>
        <w:rPr>
          <w:rFonts w:hint="eastAsia" w:ascii="宋体" w:hAnsi="宋体" w:cs="华文中宋"/>
          <w:sz w:val="28"/>
          <w:szCs w:val="28"/>
        </w:rPr>
        <w:t>答：我们学校专业都是比较好就业的，每年学校都会</w:t>
      </w:r>
      <w:r>
        <w:rPr>
          <w:rFonts w:hint="eastAsia" w:ascii="宋体" w:hAnsi="宋体" w:cs="华文中宋"/>
          <w:sz w:val="28"/>
          <w:szCs w:val="28"/>
          <w:lang w:eastAsia="zh-CN"/>
        </w:rPr>
        <w:t>针对</w:t>
      </w:r>
      <w:r>
        <w:rPr>
          <w:rFonts w:hint="eastAsia" w:ascii="宋体" w:hAnsi="宋体" w:cs="华文中宋"/>
          <w:sz w:val="28"/>
          <w:szCs w:val="28"/>
        </w:rPr>
        <w:t>毕业生举行双选会等一系列求职招聘会，吸引更多企业进入我校进行线下面试，有了学校的保驾护航，让学生能够好就业就好业。同时根据专业不同有不同的方向，其中包括</w:t>
      </w:r>
      <w:r>
        <w:rPr>
          <w:rFonts w:hint="eastAsia" w:ascii="宋体" w:hAnsi="宋体" w:cs="华文中宋"/>
          <w:color w:val="333333"/>
          <w:sz w:val="28"/>
          <w:szCs w:val="28"/>
          <w:shd w:val="clear" w:color="auto" w:fill="FFFFFF"/>
        </w:rPr>
        <w:t>国家机关、国有企业、事业单位、学校、教育单位、国家基层项目、科研单位、医疗卫生单位、部队、外资企业、自主创业、灵活就业、生产制造类单位、建筑地产类单位、金融投资类单位、商业服务类单位等。</w:t>
      </w:r>
    </w:p>
    <w:p>
      <w:pPr>
        <w:spacing w:line="360" w:lineRule="auto"/>
        <w:rPr>
          <w:rFonts w:ascii="宋体" w:hAnsi="宋体" w:cs="华文中宋"/>
          <w:b/>
          <w:bCs/>
          <w:sz w:val="28"/>
          <w:szCs w:val="28"/>
        </w:rPr>
      </w:pPr>
      <w:r>
        <w:rPr>
          <w:rFonts w:hint="eastAsia" w:ascii="宋体" w:hAnsi="宋体" w:cs="华文中宋"/>
          <w:b/>
          <w:bCs/>
          <w:sz w:val="28"/>
          <w:szCs w:val="28"/>
        </w:rPr>
        <w:t>12.就业率怎么样？</w:t>
      </w:r>
    </w:p>
    <w:p>
      <w:pPr>
        <w:spacing w:line="360" w:lineRule="auto"/>
        <w:rPr>
          <w:rFonts w:ascii="宋体" w:hAnsi="宋体" w:cs="华文中宋"/>
          <w:color w:val="333333"/>
          <w:sz w:val="28"/>
          <w:szCs w:val="28"/>
          <w:shd w:val="clear" w:color="auto" w:fill="FFFFFF"/>
        </w:rPr>
      </w:pPr>
      <w:r>
        <w:rPr>
          <w:rFonts w:hint="eastAsia" w:ascii="宋体" w:hAnsi="宋体" w:cs="华文中宋"/>
          <w:sz w:val="28"/>
          <w:szCs w:val="28"/>
        </w:rPr>
        <w:t>答</w:t>
      </w:r>
      <w:r>
        <w:rPr>
          <w:rFonts w:hint="eastAsia" w:ascii="宋体" w:hAnsi="宋体" w:cs="华文中宋"/>
          <w:sz w:val="28"/>
          <w:szCs w:val="28"/>
          <w:lang w:eastAsia="zh-CN"/>
        </w:rPr>
        <w:t>：</w:t>
      </w:r>
      <w:r>
        <w:rPr>
          <w:rFonts w:hint="eastAsia" w:ascii="宋体" w:hAnsi="宋体" w:cs="华文中宋"/>
          <w:color w:val="333333"/>
          <w:sz w:val="28"/>
          <w:szCs w:val="28"/>
          <w:shd w:val="clear" w:color="auto" w:fill="FFFFFF"/>
        </w:rPr>
        <w:t>学校普通招生类的录取分数线位居四川省同类院校前列，学生近年平均就业率保持在9</w:t>
      </w:r>
      <w:r>
        <w:rPr>
          <w:rFonts w:hint="eastAsia" w:ascii="宋体" w:hAnsi="宋体" w:cs="华文中宋"/>
          <w:color w:val="333333"/>
          <w:sz w:val="28"/>
          <w:szCs w:val="28"/>
          <w:shd w:val="clear" w:color="auto" w:fill="FFFFFF"/>
          <w:lang w:val="en-US" w:eastAsia="zh-CN"/>
        </w:rPr>
        <w:t>3</w:t>
      </w:r>
      <w:r>
        <w:rPr>
          <w:rFonts w:hint="eastAsia" w:ascii="宋体" w:hAnsi="宋体" w:cs="华文中宋"/>
          <w:color w:val="333333"/>
          <w:sz w:val="28"/>
          <w:szCs w:val="28"/>
          <w:shd w:val="clear" w:color="auto" w:fill="FFFFFF"/>
        </w:rPr>
        <w:t>%以上，并多次荣获就业工作先进单位称号。并且学校专门成立招生就业处，同时还开设创业课程，为学生就业创业提供教学指导。</w:t>
      </w:r>
    </w:p>
    <w:p>
      <w:pPr>
        <w:spacing w:line="360" w:lineRule="auto"/>
        <w:rPr>
          <w:rFonts w:ascii="宋体" w:hAnsi="宋体" w:cs="华文中宋"/>
          <w:b/>
          <w:bCs/>
          <w:sz w:val="28"/>
          <w:szCs w:val="28"/>
        </w:rPr>
      </w:pPr>
      <w:r>
        <w:rPr>
          <w:rFonts w:hint="eastAsia" w:ascii="宋体" w:hAnsi="宋体" w:cs="华文中宋"/>
          <w:b/>
          <w:bCs/>
          <w:color w:val="333333"/>
          <w:sz w:val="28"/>
          <w:szCs w:val="28"/>
          <w:shd w:val="clear" w:color="auto" w:fill="FFFFFF"/>
        </w:rPr>
        <w:t>13.</w:t>
      </w:r>
      <w:r>
        <w:rPr>
          <w:rFonts w:hint="eastAsia" w:ascii="宋体" w:hAnsi="宋体" w:cs="华文中宋"/>
          <w:b/>
          <w:bCs/>
          <w:sz w:val="28"/>
          <w:szCs w:val="28"/>
        </w:rPr>
        <w:t>学校往年录取分数线是多少？今年考多少分可以有把握报考？</w:t>
      </w:r>
    </w:p>
    <w:p>
      <w:pPr>
        <w:spacing w:line="360" w:lineRule="auto"/>
        <w:rPr>
          <w:rFonts w:ascii="宋体" w:hAnsi="宋体" w:cs="华文中宋"/>
          <w:color w:val="FF0000"/>
          <w:sz w:val="28"/>
          <w:szCs w:val="28"/>
        </w:rPr>
      </w:pPr>
      <w:r>
        <w:rPr>
          <w:rFonts w:hint="eastAsia" w:ascii="宋体" w:hAnsi="宋体" w:cs="华文中宋"/>
          <w:sz w:val="28"/>
          <w:szCs w:val="28"/>
        </w:rPr>
        <w:t>答：</w:t>
      </w:r>
      <w:r>
        <w:rPr>
          <w:rFonts w:ascii="宋体" w:hAnsi="宋体" w:cs="华文中宋"/>
          <w:sz w:val="28"/>
          <w:szCs w:val="28"/>
        </w:rPr>
        <w:t>本科依照高考排名位次 202</w:t>
      </w:r>
      <w:r>
        <w:rPr>
          <w:rFonts w:hint="eastAsia" w:ascii="宋体" w:hAnsi="宋体" w:cs="华文中宋"/>
          <w:sz w:val="28"/>
          <w:szCs w:val="28"/>
        </w:rPr>
        <w:t>2</w:t>
      </w:r>
      <w:r>
        <w:rPr>
          <w:rFonts w:ascii="宋体" w:hAnsi="宋体" w:cs="华文中宋"/>
          <w:sz w:val="28"/>
          <w:szCs w:val="28"/>
        </w:rPr>
        <w:t>年理科</w:t>
      </w:r>
      <w:r>
        <w:rPr>
          <w:rFonts w:hint="eastAsia" w:ascii="宋体" w:hAnsi="宋体" w:cs="华文中宋"/>
          <w:sz w:val="28"/>
          <w:szCs w:val="28"/>
        </w:rPr>
        <w:t>147612</w:t>
      </w:r>
      <w:r>
        <w:rPr>
          <w:rFonts w:ascii="宋体" w:hAnsi="宋体" w:cs="华文中宋"/>
          <w:sz w:val="28"/>
          <w:szCs w:val="28"/>
        </w:rPr>
        <w:t>文科</w:t>
      </w:r>
      <w:r>
        <w:rPr>
          <w:rFonts w:hint="eastAsia" w:ascii="宋体" w:hAnsi="宋体" w:cs="华文中宋"/>
          <w:sz w:val="28"/>
          <w:szCs w:val="28"/>
        </w:rPr>
        <w:t>45221</w:t>
      </w:r>
      <w:r>
        <w:rPr>
          <w:rFonts w:ascii="宋体" w:hAnsi="宋体" w:cs="华文中宋"/>
          <w:sz w:val="28"/>
          <w:szCs w:val="28"/>
        </w:rPr>
        <w:t>；专科依照分数线鼓励填报，建议专业填满，服从调配，增加录取机率</w:t>
      </w:r>
      <w:r>
        <w:rPr>
          <w:rFonts w:hint="eastAsia" w:ascii="宋体" w:hAnsi="宋体" w:cs="华文中宋"/>
          <w:sz w:val="28"/>
          <w:szCs w:val="28"/>
        </w:rPr>
        <w:t>。四川省的近年分数线参考附件。</w:t>
      </w:r>
    </w:p>
    <w:p>
      <w:pPr>
        <w:spacing w:line="360" w:lineRule="auto"/>
        <w:rPr>
          <w:rFonts w:ascii="宋体" w:hAnsi="宋体" w:cs="华文中宋"/>
          <w:b/>
          <w:bCs/>
          <w:sz w:val="28"/>
          <w:szCs w:val="28"/>
        </w:rPr>
      </w:pPr>
      <w:r>
        <w:rPr>
          <w:rFonts w:hint="eastAsia" w:ascii="宋体" w:hAnsi="宋体" w:cs="华文中宋"/>
          <w:b/>
          <w:bCs/>
          <w:sz w:val="28"/>
          <w:szCs w:val="28"/>
        </w:rPr>
        <w:t>14.学校录取原则是什么？</w:t>
      </w:r>
    </w:p>
    <w:p>
      <w:pPr>
        <w:spacing w:line="360" w:lineRule="auto"/>
        <w:rPr>
          <w:rFonts w:ascii="宋体" w:hAnsi="宋体" w:cs="华文中宋"/>
          <w:b/>
          <w:bCs/>
          <w:sz w:val="28"/>
          <w:szCs w:val="28"/>
        </w:rPr>
      </w:pPr>
      <w:r>
        <w:rPr>
          <w:rFonts w:hint="eastAsia" w:ascii="宋体" w:hAnsi="宋体" w:cs="华文中宋"/>
          <w:sz w:val="28"/>
          <w:szCs w:val="28"/>
        </w:rPr>
        <w:t>答</w:t>
      </w:r>
      <w:r>
        <w:rPr>
          <w:rFonts w:hint="eastAsia" w:ascii="宋体" w:hAnsi="宋体" w:cs="华文中宋"/>
          <w:sz w:val="28"/>
          <w:szCs w:val="28"/>
          <w:lang w:eastAsia="zh-CN"/>
        </w:rPr>
        <w:t>：</w:t>
      </w:r>
      <w:r>
        <w:rPr>
          <w:rFonts w:hint="eastAsia" w:ascii="宋体" w:hAnsi="宋体" w:cs="华文中宋"/>
          <w:b/>
          <w:bCs/>
          <w:sz w:val="28"/>
          <w:szCs w:val="28"/>
        </w:rPr>
        <w:t>普通类：</w:t>
      </w:r>
    </w:p>
    <w:p>
      <w:pPr>
        <w:numPr>
          <w:ilvl w:val="0"/>
          <w:numId w:val="1"/>
        </w:numPr>
        <w:spacing w:line="360" w:lineRule="auto"/>
        <w:rPr>
          <w:rFonts w:ascii="宋体" w:hAnsi="宋体" w:cs="华文中宋"/>
          <w:sz w:val="28"/>
          <w:szCs w:val="28"/>
        </w:rPr>
      </w:pPr>
      <w:r>
        <w:rPr>
          <w:rFonts w:hint="eastAsia" w:ascii="宋体" w:hAnsi="宋体" w:cs="华文中宋"/>
          <w:sz w:val="28"/>
          <w:szCs w:val="28"/>
        </w:rPr>
        <w:t>对所有进档考生按照专业志愿优先的原则进行录取。即对进档考生，按照其所报考志愿顺序，</w:t>
      </w:r>
      <w:r>
        <w:rPr>
          <w:rFonts w:hint="eastAsia" w:ascii="宋体" w:hAnsi="宋体" w:cs="华文中宋"/>
          <w:sz w:val="28"/>
          <w:szCs w:val="28"/>
          <w:lang w:eastAsia="zh-CN"/>
        </w:rPr>
        <w:t>以</w:t>
      </w:r>
      <w:r>
        <w:rPr>
          <w:rFonts w:hint="eastAsia" w:ascii="宋体" w:hAnsi="宋体" w:cs="华文中宋"/>
          <w:sz w:val="28"/>
          <w:szCs w:val="28"/>
        </w:rPr>
        <w:t>投档分数由高到低进行录取。（如第一专业志愿所报专业录取满额，则将剩余考生投档成绩由高到低排序，按照其专业志愿顺序进行调配。当考生所有专业志愿都无法满足时，若考生服从专业调配，则根据考生投档分数从高到低的原则调配其他专业，若考生不服从专业调配，我校有权作退档处理）。</w:t>
      </w:r>
    </w:p>
    <w:p>
      <w:pPr>
        <w:numPr>
          <w:ilvl w:val="0"/>
          <w:numId w:val="1"/>
        </w:numPr>
        <w:spacing w:line="360" w:lineRule="auto"/>
        <w:rPr>
          <w:rFonts w:ascii="宋体" w:hAnsi="宋体" w:cs="华文中宋"/>
          <w:sz w:val="28"/>
          <w:szCs w:val="28"/>
        </w:rPr>
      </w:pPr>
      <w:r>
        <w:rPr>
          <w:rFonts w:hint="eastAsia" w:ascii="宋体" w:hAnsi="宋体" w:cs="华文中宋"/>
          <w:sz w:val="28"/>
          <w:szCs w:val="28"/>
        </w:rPr>
        <w:t>我校在满足考生第一专业志愿时，对自愿申请录取到非第一专业志愿的考生，我校尊重考生意愿进行调配。</w:t>
      </w:r>
    </w:p>
    <w:p>
      <w:pPr>
        <w:spacing w:line="360" w:lineRule="auto"/>
        <w:rPr>
          <w:rFonts w:hint="eastAsia" w:ascii="宋体" w:hAnsi="宋体" w:cs="华文中宋"/>
          <w:sz w:val="28"/>
          <w:szCs w:val="28"/>
        </w:rPr>
      </w:pPr>
      <w:r>
        <w:rPr>
          <w:rFonts w:hint="eastAsia" w:ascii="宋体" w:hAnsi="宋体" w:cs="华文中宋"/>
          <w:b/>
          <w:bCs/>
          <w:sz w:val="28"/>
          <w:szCs w:val="28"/>
        </w:rPr>
        <w:t>艺术类</w:t>
      </w:r>
      <w:r>
        <w:rPr>
          <w:rFonts w:hint="eastAsia" w:ascii="宋体" w:hAnsi="宋体" w:cs="华文中宋"/>
          <w:sz w:val="28"/>
          <w:szCs w:val="28"/>
        </w:rPr>
        <w:t>：</w:t>
      </w:r>
    </w:p>
    <w:p>
      <w:pPr>
        <w:spacing w:line="360" w:lineRule="auto"/>
        <w:ind w:firstLine="560" w:firstLineChars="200"/>
        <w:rPr>
          <w:rFonts w:ascii="宋体" w:hAnsi="宋体" w:cs="华文中宋"/>
          <w:sz w:val="28"/>
          <w:szCs w:val="28"/>
        </w:rPr>
      </w:pPr>
      <w:r>
        <w:rPr>
          <w:rFonts w:hint="eastAsia" w:ascii="宋体" w:hAnsi="宋体" w:cs="华文中宋"/>
          <w:sz w:val="28"/>
          <w:szCs w:val="28"/>
        </w:rPr>
        <w:t>在文化与专业高考成绩双上线的基础上，对进档考生按照以下原则进行录取。</w:t>
      </w:r>
    </w:p>
    <w:p>
      <w:pPr>
        <w:spacing w:line="360" w:lineRule="auto"/>
        <w:rPr>
          <w:rFonts w:ascii="宋体" w:hAnsi="宋体" w:cs="华文中宋"/>
          <w:sz w:val="28"/>
          <w:szCs w:val="28"/>
        </w:rPr>
      </w:pPr>
      <w:r>
        <w:rPr>
          <w:rFonts w:hint="eastAsia" w:ascii="宋体" w:hAnsi="宋体" w:cs="华文中宋"/>
          <w:sz w:val="28"/>
          <w:szCs w:val="28"/>
          <w:lang w:eastAsia="zh-CN"/>
        </w:rPr>
        <w:t>（</w:t>
      </w:r>
      <w:r>
        <w:rPr>
          <w:rFonts w:hint="eastAsia" w:ascii="宋体" w:hAnsi="宋体" w:cs="华文中宋"/>
          <w:sz w:val="28"/>
          <w:szCs w:val="28"/>
        </w:rPr>
        <w:t>1</w:t>
      </w:r>
      <w:r>
        <w:rPr>
          <w:rFonts w:hint="eastAsia" w:ascii="宋体" w:hAnsi="宋体" w:cs="华文中宋"/>
          <w:sz w:val="28"/>
          <w:szCs w:val="28"/>
          <w:lang w:eastAsia="zh-CN"/>
        </w:rPr>
        <w:t>）</w:t>
      </w:r>
      <w:r>
        <w:rPr>
          <w:rFonts w:hint="eastAsia" w:ascii="宋体" w:hAnsi="宋体" w:cs="华文中宋"/>
          <w:sz w:val="28"/>
          <w:szCs w:val="28"/>
        </w:rPr>
        <w:t>所有校考专业在文化成绩达到各省相应批次最低录取控制线且我校校考成绩合格的前提下，按专业成绩由高到低择优录取；在计划满额时，若专业成绩相同，文化成绩高者优先录取；文化成绩相同的考生，按语文、外语、数学的单科成绩顺序排序确定名次录取。</w:t>
      </w:r>
    </w:p>
    <w:p>
      <w:pPr>
        <w:spacing w:line="360" w:lineRule="auto"/>
        <w:rPr>
          <w:rFonts w:ascii="宋体" w:hAnsi="宋体" w:cs="华文中宋"/>
          <w:sz w:val="28"/>
          <w:szCs w:val="28"/>
        </w:rPr>
      </w:pPr>
      <w:r>
        <w:rPr>
          <w:rFonts w:hint="eastAsia" w:ascii="宋体" w:hAnsi="宋体" w:cs="华文中宋"/>
          <w:sz w:val="28"/>
          <w:szCs w:val="28"/>
          <w:lang w:eastAsia="zh-CN"/>
        </w:rPr>
        <w:t>（</w:t>
      </w:r>
      <w:r>
        <w:rPr>
          <w:rFonts w:hint="eastAsia" w:ascii="宋体" w:hAnsi="宋体" w:cs="华文中宋"/>
          <w:sz w:val="28"/>
          <w:szCs w:val="28"/>
        </w:rPr>
        <w:t>2）参加所在省（市、区）联考或统考的，且我校承认所在省（市、区）联考或统考投档录取原则的，即对进档考生按照其所报志愿顺序，以投档分数由高到低进行录取。（如第一专业志愿所报专业录取满额，则将剩余考生按投档成绩从高分到低分排序，按其符合的对应专业志愿顺序进行专业调配。当考生所有专业志愿都无法满足时，若考生服从专业调配，则根据考生投档分数从高到低的原则调配到其他符合的对应专业，若考生不服从专业调配，我校有权作退档处理。）</w:t>
      </w:r>
    </w:p>
    <w:p>
      <w:pPr>
        <w:spacing w:line="360" w:lineRule="auto"/>
        <w:rPr>
          <w:rFonts w:ascii="宋体" w:hAnsi="宋体" w:cs="华文中宋"/>
          <w:b/>
          <w:bCs/>
          <w:sz w:val="28"/>
          <w:szCs w:val="28"/>
        </w:rPr>
      </w:pPr>
      <w:r>
        <w:rPr>
          <w:rFonts w:hint="eastAsia" w:ascii="宋体" w:hAnsi="宋体" w:cs="华文中宋"/>
          <w:b/>
          <w:bCs/>
          <w:sz w:val="28"/>
          <w:szCs w:val="28"/>
        </w:rPr>
        <w:t>体育类：</w:t>
      </w:r>
    </w:p>
    <w:p>
      <w:pPr>
        <w:spacing w:line="360" w:lineRule="auto"/>
        <w:ind w:firstLine="560" w:firstLineChars="200"/>
        <w:rPr>
          <w:rFonts w:ascii="宋体" w:hAnsi="宋体" w:cs="华文中宋"/>
          <w:sz w:val="28"/>
          <w:szCs w:val="28"/>
        </w:rPr>
      </w:pPr>
      <w:r>
        <w:rPr>
          <w:rFonts w:ascii="宋体" w:hAnsi="宋体" w:cs="华文中宋"/>
          <w:sz w:val="28"/>
          <w:szCs w:val="28"/>
        </w:rPr>
        <w:t>我校承认所在省（市、区）体育类专业统考投档录取原则的，即对进档考生按照其所报志愿顺序，以投档分数由高到低进行录取。如第一专业志愿所报专业录取满额，则将剩余考生按投档成绩从高分到低分排序，按其符合的对应专业志愿顺序进行专业调配。当考生所有专业志愿都无法满足时，若考生服从专业调配，则根据考生投档分数从高到低的原则调配到其他符合的对应专业，若考生不服从专业调配，我校有权作退档处理。</w:t>
      </w:r>
    </w:p>
    <w:p>
      <w:pPr>
        <w:spacing w:line="360" w:lineRule="auto"/>
        <w:rPr>
          <w:rFonts w:ascii="宋体" w:hAnsi="宋体" w:cs="华文中宋"/>
          <w:b/>
          <w:bCs/>
          <w:sz w:val="28"/>
          <w:szCs w:val="28"/>
        </w:rPr>
      </w:pPr>
      <w:r>
        <w:rPr>
          <w:rFonts w:hint="eastAsia" w:ascii="宋体" w:hAnsi="宋体" w:cs="华文中宋"/>
          <w:b/>
          <w:bCs/>
          <w:sz w:val="28"/>
          <w:szCs w:val="28"/>
        </w:rPr>
        <w:t>空乘类：</w:t>
      </w:r>
    </w:p>
    <w:p>
      <w:pPr>
        <w:pStyle w:val="4"/>
        <w:widowControl/>
        <w:spacing w:beforeAutospacing="0" w:afterAutospacing="0"/>
        <w:jc w:val="both"/>
        <w:rPr>
          <w:rFonts w:ascii="宋体" w:hAnsi="宋体" w:cs="华文中宋"/>
          <w:kern w:val="2"/>
          <w:sz w:val="28"/>
          <w:szCs w:val="28"/>
        </w:rPr>
      </w:pPr>
      <w:r>
        <w:rPr>
          <w:rFonts w:hint="eastAsia" w:ascii="宋体" w:hAnsi="宋体" w:cs="华文中宋"/>
          <w:sz w:val="28"/>
          <w:szCs w:val="28"/>
          <w:lang w:eastAsia="zh-CN"/>
        </w:rPr>
        <w:t>（</w:t>
      </w:r>
      <w:r>
        <w:rPr>
          <w:rFonts w:hint="eastAsia" w:ascii="宋体" w:hAnsi="宋体" w:cs="华文中宋"/>
          <w:sz w:val="28"/>
          <w:szCs w:val="28"/>
        </w:rPr>
        <w:t>1</w:t>
      </w:r>
      <w:r>
        <w:rPr>
          <w:rFonts w:hint="eastAsia" w:ascii="宋体" w:hAnsi="宋体" w:cs="华文中宋"/>
          <w:sz w:val="28"/>
          <w:szCs w:val="28"/>
          <w:lang w:eastAsia="zh-CN"/>
        </w:rPr>
        <w:t>）</w:t>
      </w:r>
      <w:r>
        <w:rPr>
          <w:rFonts w:ascii="宋体" w:hAnsi="宋体" w:cs="华文中宋"/>
          <w:kern w:val="2"/>
          <w:sz w:val="28"/>
          <w:szCs w:val="28"/>
        </w:rPr>
        <w:t>考生需参加我校组织的专业面试，成绩合格者方可报考该专业。</w:t>
      </w:r>
    </w:p>
    <w:p>
      <w:pPr>
        <w:pStyle w:val="4"/>
        <w:widowControl/>
        <w:spacing w:beforeAutospacing="0" w:afterAutospacing="0"/>
        <w:jc w:val="both"/>
        <w:rPr>
          <w:rFonts w:ascii="宋体" w:hAnsi="宋体" w:cs="华文中宋"/>
          <w:kern w:val="2"/>
          <w:sz w:val="28"/>
          <w:szCs w:val="28"/>
        </w:rPr>
      </w:pPr>
      <w:r>
        <w:rPr>
          <w:rFonts w:hint="eastAsia" w:ascii="宋体" w:hAnsi="宋体" w:cs="华文中宋"/>
          <w:sz w:val="28"/>
          <w:szCs w:val="28"/>
          <w:lang w:eastAsia="zh-CN"/>
        </w:rPr>
        <w:t>（</w:t>
      </w:r>
      <w:r>
        <w:rPr>
          <w:rFonts w:hint="eastAsia" w:ascii="宋体" w:hAnsi="宋体" w:cs="华文中宋"/>
          <w:sz w:val="28"/>
          <w:szCs w:val="28"/>
        </w:rPr>
        <w:t>2）</w:t>
      </w:r>
      <w:r>
        <w:rPr>
          <w:rFonts w:ascii="宋体" w:hAnsi="宋体" w:cs="华文中宋"/>
          <w:kern w:val="2"/>
          <w:sz w:val="28"/>
          <w:szCs w:val="28"/>
        </w:rPr>
        <w:t>在文化高考分数上线和面试成绩合格的基础上，按文化分由高到低录取，文化分相同的情况下，面试成绩高者优先录取。</w:t>
      </w:r>
    </w:p>
    <w:p>
      <w:pPr>
        <w:pStyle w:val="4"/>
        <w:widowControl/>
        <w:spacing w:beforeAutospacing="0" w:afterAutospacing="0"/>
        <w:jc w:val="both"/>
        <w:rPr>
          <w:rFonts w:ascii="宋体" w:hAnsi="宋体" w:cs="华文中宋"/>
          <w:b/>
          <w:bCs/>
          <w:sz w:val="28"/>
          <w:szCs w:val="28"/>
        </w:rPr>
      </w:pPr>
      <w:r>
        <w:rPr>
          <w:rFonts w:hint="eastAsia" w:ascii="宋体" w:hAnsi="宋体" w:cs="华文中宋"/>
          <w:b/>
          <w:bCs/>
          <w:sz w:val="28"/>
          <w:szCs w:val="28"/>
        </w:rPr>
        <w:t>15.投档比例是多少？</w:t>
      </w:r>
    </w:p>
    <w:p>
      <w:pPr>
        <w:spacing w:line="360" w:lineRule="auto"/>
        <w:rPr>
          <w:rFonts w:ascii="宋体" w:hAnsi="宋体" w:cs="华文中宋"/>
          <w:sz w:val="28"/>
          <w:szCs w:val="28"/>
        </w:rPr>
      </w:pPr>
      <w:r>
        <w:rPr>
          <w:rFonts w:hint="eastAsia" w:ascii="宋体" w:hAnsi="宋体" w:cs="华文中宋"/>
          <w:sz w:val="28"/>
          <w:szCs w:val="28"/>
        </w:rPr>
        <w:t>答：四川1:1。根据录取期间实际情况而定（注：各省的情况不一样，我校执行各省招办的投档比例）</w:t>
      </w:r>
    </w:p>
    <w:p>
      <w:pPr>
        <w:spacing w:line="360" w:lineRule="auto"/>
        <w:rPr>
          <w:rFonts w:ascii="宋体" w:hAnsi="宋体" w:cs="华文中宋"/>
          <w:b/>
          <w:bCs/>
          <w:sz w:val="28"/>
          <w:szCs w:val="28"/>
        </w:rPr>
      </w:pPr>
      <w:r>
        <w:rPr>
          <w:rFonts w:hint="eastAsia" w:ascii="宋体" w:hAnsi="宋体" w:cs="华文中宋"/>
          <w:b/>
          <w:bCs/>
          <w:sz w:val="28"/>
          <w:szCs w:val="28"/>
        </w:rPr>
        <w:t>16.录取结果如何公布？</w:t>
      </w:r>
    </w:p>
    <w:p>
      <w:pPr>
        <w:spacing w:line="360" w:lineRule="auto"/>
        <w:rPr>
          <w:rFonts w:ascii="宋体" w:hAnsi="宋体" w:cs="华文中宋"/>
          <w:sz w:val="28"/>
          <w:szCs w:val="28"/>
        </w:rPr>
      </w:pPr>
      <w:r>
        <w:rPr>
          <w:rFonts w:hint="eastAsia" w:ascii="宋体" w:hAnsi="宋体" w:cs="华文中宋"/>
          <w:sz w:val="28"/>
          <w:szCs w:val="28"/>
        </w:rPr>
        <w:t>答：按教育部和各省</w:t>
      </w:r>
      <w:r>
        <w:rPr>
          <w:rFonts w:hint="eastAsia" w:ascii="宋体" w:hAnsi="宋体" w:cs="华文中宋"/>
          <w:sz w:val="28"/>
          <w:szCs w:val="28"/>
          <w:lang w:eastAsia="zh-CN"/>
        </w:rPr>
        <w:t>（</w:t>
      </w:r>
      <w:r>
        <w:rPr>
          <w:rFonts w:hint="eastAsia" w:ascii="宋体" w:hAnsi="宋体" w:cs="华文中宋"/>
          <w:sz w:val="28"/>
          <w:szCs w:val="28"/>
        </w:rPr>
        <w:t>市、自治区</w:t>
      </w:r>
      <w:r>
        <w:rPr>
          <w:rFonts w:hint="eastAsia" w:ascii="宋体" w:hAnsi="宋体" w:cs="华文中宋"/>
          <w:sz w:val="28"/>
          <w:szCs w:val="28"/>
          <w:lang w:eastAsia="zh-CN"/>
        </w:rPr>
        <w:t>）</w:t>
      </w:r>
      <w:r>
        <w:rPr>
          <w:rFonts w:hint="eastAsia" w:ascii="宋体" w:hAnsi="宋体" w:cs="华文中宋"/>
          <w:sz w:val="28"/>
          <w:szCs w:val="28"/>
        </w:rPr>
        <w:t>统一规定的形式公布。</w:t>
      </w:r>
    </w:p>
    <w:p>
      <w:pPr>
        <w:numPr>
          <w:ilvl w:val="0"/>
          <w:numId w:val="2"/>
        </w:numPr>
        <w:spacing w:line="360" w:lineRule="auto"/>
        <w:rPr>
          <w:rFonts w:hint="eastAsia" w:ascii="宋体" w:hAnsi="宋体" w:cs="华文中宋"/>
          <w:sz w:val="28"/>
          <w:szCs w:val="28"/>
        </w:rPr>
      </w:pPr>
      <w:r>
        <w:rPr>
          <w:rFonts w:hint="eastAsia" w:ascii="宋体" w:hAnsi="宋体" w:cs="华文中宋"/>
          <w:sz w:val="28"/>
          <w:szCs w:val="28"/>
        </w:rPr>
        <w:t>寄发录取通知书。</w:t>
      </w:r>
    </w:p>
    <w:p>
      <w:pPr>
        <w:numPr>
          <w:ilvl w:val="0"/>
          <w:numId w:val="2"/>
        </w:numPr>
        <w:spacing w:line="360" w:lineRule="auto"/>
        <w:rPr>
          <w:rFonts w:ascii="宋体" w:hAnsi="宋体" w:cs="华文中宋"/>
          <w:sz w:val="28"/>
          <w:szCs w:val="28"/>
        </w:rPr>
      </w:pPr>
      <w:r>
        <w:rPr>
          <w:rFonts w:hint="eastAsia" w:ascii="宋体" w:hAnsi="宋体" w:cs="华文中宋"/>
          <w:sz w:val="28"/>
          <w:szCs w:val="28"/>
        </w:rPr>
        <w:t>各省教育考试院官方网站、学院官方网站均可查询。</w:t>
      </w:r>
    </w:p>
    <w:p>
      <w:pPr>
        <w:numPr>
          <w:ilvl w:val="0"/>
          <w:numId w:val="2"/>
        </w:numPr>
        <w:spacing w:line="360" w:lineRule="auto"/>
        <w:rPr>
          <w:rFonts w:ascii="宋体" w:hAnsi="宋体" w:cs="华文中宋"/>
          <w:sz w:val="28"/>
          <w:szCs w:val="28"/>
        </w:rPr>
      </w:pPr>
      <w:r>
        <w:rPr>
          <w:rFonts w:hint="eastAsia" w:ascii="宋体" w:hAnsi="宋体" w:cs="华文中宋"/>
          <w:sz w:val="28"/>
          <w:szCs w:val="28"/>
        </w:rPr>
        <w:t>电话咨询查询。</w:t>
      </w:r>
    </w:p>
    <w:p>
      <w:pPr>
        <w:spacing w:line="360" w:lineRule="auto"/>
        <w:rPr>
          <w:rFonts w:ascii="宋体" w:hAnsi="宋体" w:cs="华文中宋"/>
          <w:sz w:val="28"/>
          <w:szCs w:val="28"/>
        </w:rPr>
      </w:pPr>
      <w:r>
        <w:rPr>
          <w:rFonts w:hint="eastAsia" w:ascii="宋体" w:hAnsi="宋体" w:cs="华文中宋"/>
          <w:sz w:val="28"/>
          <w:szCs w:val="28"/>
        </w:rPr>
        <w:t>咨询电话：028-61560112、61560113、61560115、61560116</w:t>
      </w:r>
    </w:p>
    <w:p>
      <w:pPr>
        <w:spacing w:line="360" w:lineRule="auto"/>
        <w:rPr>
          <w:rFonts w:ascii="宋体" w:hAnsi="宋体" w:cs="华文中宋"/>
          <w:sz w:val="28"/>
          <w:szCs w:val="28"/>
        </w:rPr>
      </w:pPr>
      <w:r>
        <w:rPr>
          <w:rFonts w:hint="eastAsia" w:ascii="宋体" w:hAnsi="宋体" w:cs="华文中宋"/>
          <w:sz w:val="28"/>
          <w:szCs w:val="28"/>
        </w:rPr>
        <w:t>传真电话：028-61560114</w:t>
      </w:r>
    </w:p>
    <w:p>
      <w:pPr>
        <w:spacing w:line="360" w:lineRule="auto"/>
        <w:rPr>
          <w:rFonts w:ascii="宋体" w:hAnsi="宋体" w:cs="华文中宋"/>
          <w:sz w:val="28"/>
          <w:szCs w:val="28"/>
        </w:rPr>
      </w:pPr>
      <w:r>
        <w:rPr>
          <w:rFonts w:hint="eastAsia" w:ascii="宋体" w:hAnsi="宋体" w:cs="华文中宋"/>
          <w:sz w:val="28"/>
          <w:szCs w:val="28"/>
        </w:rPr>
        <w:t>网址：</w:t>
      </w:r>
      <w:r>
        <w:rPr>
          <w:rFonts w:hint="eastAsia" w:ascii="宋体" w:hAnsi="宋体" w:cs="华文中宋"/>
          <w:sz w:val="28"/>
          <w:szCs w:val="28"/>
          <w:lang w:eastAsia="zh-CN"/>
        </w:rPr>
        <w:t>（</w:t>
      </w:r>
      <w:r>
        <w:rPr>
          <w:rFonts w:hint="eastAsia" w:ascii="宋体" w:hAnsi="宋体" w:cs="华文中宋"/>
          <w:sz w:val="28"/>
          <w:szCs w:val="28"/>
        </w:rPr>
        <w:t>学校官网</w:t>
      </w:r>
      <w:r>
        <w:rPr>
          <w:rFonts w:hint="eastAsia" w:ascii="宋体" w:hAnsi="宋体" w:cs="华文中宋"/>
          <w:sz w:val="28"/>
          <w:szCs w:val="28"/>
          <w:lang w:eastAsia="zh-CN"/>
        </w:rPr>
        <w:t>）</w:t>
      </w:r>
    </w:p>
    <w:p>
      <w:pPr>
        <w:spacing w:line="360" w:lineRule="auto"/>
        <w:rPr>
          <w:rFonts w:ascii="宋体" w:hAnsi="宋体" w:cs="华文中宋"/>
          <w:sz w:val="28"/>
          <w:szCs w:val="28"/>
        </w:rPr>
      </w:pPr>
      <w:r>
        <w:rPr>
          <w:rFonts w:hint="eastAsia" w:ascii="宋体" w:hAnsi="宋体" w:cs="华文中宋"/>
          <w:sz w:val="28"/>
          <w:szCs w:val="28"/>
        </w:rPr>
        <w:t>E-mail：wenlizhaosheng@163.com</w:t>
      </w:r>
    </w:p>
    <w:p>
      <w:pPr>
        <w:spacing w:line="360" w:lineRule="auto"/>
        <w:rPr>
          <w:rFonts w:ascii="宋体" w:hAnsi="宋体" w:cs="华文中宋"/>
          <w:sz w:val="28"/>
          <w:szCs w:val="28"/>
        </w:rPr>
      </w:pPr>
      <w:r>
        <w:rPr>
          <w:rFonts w:hint="eastAsia" w:ascii="宋体" w:hAnsi="宋体" w:cs="华文中宋"/>
          <w:sz w:val="28"/>
          <w:szCs w:val="28"/>
        </w:rPr>
        <w:t>地址：成都市金堂学府大道278号（金堂校区）</w:t>
      </w:r>
    </w:p>
    <w:p>
      <w:pPr>
        <w:spacing w:line="360" w:lineRule="auto"/>
        <w:rPr>
          <w:rFonts w:ascii="宋体" w:hAnsi="宋体" w:cs="华文中宋"/>
          <w:b/>
          <w:bCs/>
          <w:sz w:val="28"/>
          <w:szCs w:val="28"/>
        </w:rPr>
      </w:pPr>
      <w:r>
        <w:rPr>
          <w:rFonts w:hint="eastAsia" w:ascii="宋体" w:hAnsi="宋体" w:cs="华文中宋"/>
          <w:b/>
          <w:bCs/>
          <w:sz w:val="28"/>
          <w:szCs w:val="28"/>
        </w:rPr>
        <w:t>17.</w:t>
      </w:r>
      <w:r>
        <w:rPr>
          <w:rFonts w:ascii="宋体" w:hAnsi="宋体" w:cs="华文中宋"/>
          <w:b/>
          <w:bCs/>
          <w:sz w:val="28"/>
          <w:szCs w:val="28"/>
        </w:rPr>
        <w:t>2023</w:t>
      </w:r>
      <w:r>
        <w:rPr>
          <w:rFonts w:hint="eastAsia" w:ascii="宋体" w:hAnsi="宋体" w:cs="华文中宋"/>
          <w:b/>
          <w:bCs/>
          <w:sz w:val="28"/>
          <w:szCs w:val="28"/>
        </w:rPr>
        <w:t>年招生计划情况？</w:t>
      </w:r>
    </w:p>
    <w:p>
      <w:pPr>
        <w:spacing w:line="360" w:lineRule="auto"/>
        <w:rPr>
          <w:rFonts w:ascii="宋体" w:hAnsi="宋体" w:cs="华文中宋"/>
          <w:b/>
          <w:bCs/>
          <w:sz w:val="28"/>
          <w:szCs w:val="28"/>
        </w:rPr>
      </w:pPr>
      <w:r>
        <w:rPr>
          <w:rFonts w:hint="eastAsia" w:ascii="宋体" w:hAnsi="宋体" w:cs="华文中宋"/>
          <w:sz w:val="28"/>
          <w:szCs w:val="28"/>
        </w:rPr>
        <w:t>答：今年的相关计划已经公布，具体请关注成都文理学院招生处微信公众号、招生处官网及各省教育厅考试院等招考部门发行的官方招生考试手册或考试报。最终计划情况以各省考试院公布的为准。</w:t>
      </w:r>
    </w:p>
    <w:p>
      <w:pPr>
        <w:spacing w:line="360" w:lineRule="auto"/>
        <w:rPr>
          <w:rFonts w:ascii="宋体" w:hAnsi="宋体" w:cs="华文中宋"/>
          <w:b/>
          <w:bCs/>
          <w:sz w:val="28"/>
          <w:szCs w:val="28"/>
        </w:rPr>
      </w:pPr>
      <w:r>
        <w:rPr>
          <w:rFonts w:hint="eastAsia" w:ascii="宋体" w:hAnsi="宋体" w:cs="华文中宋"/>
          <w:b/>
          <w:bCs/>
          <w:sz w:val="28"/>
          <w:szCs w:val="28"/>
        </w:rPr>
        <w:t>18.</w:t>
      </w:r>
      <w:r>
        <w:rPr>
          <w:rFonts w:ascii="宋体" w:hAnsi="宋体" w:cs="华文中宋"/>
          <w:b/>
          <w:bCs/>
          <w:sz w:val="28"/>
          <w:szCs w:val="28"/>
        </w:rPr>
        <w:t>贵校是否可以专升本，专升本的条件有哪些？</w:t>
      </w:r>
    </w:p>
    <w:p>
      <w:pPr>
        <w:spacing w:line="360" w:lineRule="auto"/>
        <w:rPr>
          <w:rFonts w:ascii="宋体" w:hAnsi="宋体" w:cs="华文中宋"/>
          <w:b/>
          <w:bCs/>
          <w:sz w:val="28"/>
          <w:szCs w:val="28"/>
        </w:rPr>
      </w:pPr>
      <w:r>
        <w:rPr>
          <w:rFonts w:hint="eastAsia" w:ascii="宋体" w:hAnsi="宋体" w:cs="华文中宋"/>
          <w:sz w:val="28"/>
          <w:szCs w:val="28"/>
        </w:rPr>
        <w:t>答：</w:t>
      </w:r>
      <w:r>
        <w:rPr>
          <w:rFonts w:ascii="宋体" w:hAnsi="宋体" w:cs="华文中宋"/>
          <w:sz w:val="28"/>
          <w:szCs w:val="28"/>
        </w:rPr>
        <w:t>目前专升本比例20%</w:t>
      </w:r>
      <w:r>
        <w:rPr>
          <w:rFonts w:hint="eastAsia" w:ascii="宋体" w:hAnsi="宋体" w:cs="华文中宋"/>
          <w:sz w:val="28"/>
          <w:szCs w:val="28"/>
        </w:rPr>
        <w:t>，</w:t>
      </w:r>
      <w:r>
        <w:rPr>
          <w:rFonts w:ascii="宋体" w:hAnsi="宋体" w:cs="华文中宋"/>
          <w:sz w:val="28"/>
          <w:szCs w:val="28"/>
        </w:rPr>
        <w:t>2024年专升本的新政策以四川省教育考试院公布为准</w:t>
      </w:r>
      <w:r>
        <w:rPr>
          <w:rFonts w:hint="eastAsia" w:ascii="宋体" w:hAnsi="宋体" w:cs="华文中宋"/>
          <w:sz w:val="28"/>
          <w:szCs w:val="28"/>
        </w:rPr>
        <w:t>。</w:t>
      </w:r>
    </w:p>
    <w:p>
      <w:pPr>
        <w:spacing w:line="360" w:lineRule="auto"/>
        <w:rPr>
          <w:rFonts w:ascii="宋体" w:hAnsi="宋体" w:cs="华文中宋"/>
          <w:b/>
          <w:bCs/>
          <w:sz w:val="28"/>
          <w:szCs w:val="28"/>
        </w:rPr>
      </w:pPr>
      <w:r>
        <w:rPr>
          <w:rFonts w:hint="eastAsia" w:ascii="宋体" w:hAnsi="宋体" w:cs="华文中宋"/>
          <w:b/>
          <w:bCs/>
          <w:sz w:val="28"/>
          <w:szCs w:val="28"/>
        </w:rPr>
        <w:t>19.贵校有本科生也有专科生，在师资、教学和管理上会不会区别对待？</w:t>
      </w:r>
      <w:r>
        <w:rPr>
          <w:rFonts w:ascii="宋体" w:hAnsi="宋体" w:cs="华文中宋"/>
          <w:b/>
          <w:bCs/>
          <w:sz w:val="28"/>
          <w:szCs w:val="28"/>
        </w:rPr>
        <w:t xml:space="preserve"> </w:t>
      </w:r>
    </w:p>
    <w:p>
      <w:pPr>
        <w:spacing w:line="360" w:lineRule="auto"/>
        <w:rPr>
          <w:rFonts w:ascii="宋体" w:hAnsi="宋体" w:cs="华文中宋"/>
          <w:sz w:val="28"/>
          <w:szCs w:val="28"/>
        </w:rPr>
      </w:pPr>
      <w:r>
        <w:rPr>
          <w:rFonts w:hint="eastAsia" w:ascii="宋体" w:hAnsi="宋体" w:cs="华文中宋"/>
          <w:sz w:val="28"/>
          <w:szCs w:val="28"/>
        </w:rPr>
        <w:t>答：不会。学生入学后享受同等条件的教育资源。（人才培养计划、学制、课程结构会有所不同）</w:t>
      </w:r>
    </w:p>
    <w:p>
      <w:pPr>
        <w:spacing w:line="360" w:lineRule="auto"/>
        <w:rPr>
          <w:rFonts w:ascii="宋体" w:hAnsi="宋体" w:cs="华文中宋"/>
          <w:b/>
          <w:bCs/>
          <w:sz w:val="28"/>
          <w:szCs w:val="28"/>
        </w:rPr>
      </w:pPr>
      <w:r>
        <w:rPr>
          <w:rFonts w:hint="eastAsia" w:ascii="宋体" w:hAnsi="宋体" w:cs="华文中宋"/>
          <w:b/>
          <w:bCs/>
          <w:kern w:val="0"/>
          <w:sz w:val="28"/>
          <w:szCs w:val="28"/>
        </w:rPr>
        <w:t>20</w:t>
      </w:r>
      <w:r>
        <w:rPr>
          <w:rFonts w:hint="eastAsia" w:ascii="宋体" w:hAnsi="宋体" w:cs="华文中宋"/>
          <w:sz w:val="28"/>
          <w:szCs w:val="28"/>
        </w:rPr>
        <w:t>.</w:t>
      </w:r>
      <w:r>
        <w:rPr>
          <w:rFonts w:hint="eastAsia" w:ascii="宋体" w:hAnsi="宋体" w:cs="华文中宋"/>
          <w:b/>
          <w:bCs/>
          <w:sz w:val="28"/>
          <w:szCs w:val="28"/>
        </w:rPr>
        <w:t>你们学校考研率怎么样</w:t>
      </w:r>
      <w:r>
        <w:rPr>
          <w:rFonts w:hint="eastAsia" w:ascii="宋体" w:hAnsi="宋体" w:cs="华文中宋"/>
          <w:b/>
          <w:bCs/>
          <w:sz w:val="28"/>
          <w:szCs w:val="28"/>
          <w:lang w:eastAsia="zh-CN"/>
        </w:rPr>
        <w:t>？</w:t>
      </w:r>
    </w:p>
    <w:p>
      <w:pPr>
        <w:spacing w:line="360" w:lineRule="auto"/>
        <w:rPr>
          <w:rFonts w:ascii="宋体" w:hAnsi="宋体" w:cs="华文中宋"/>
          <w:b/>
          <w:bCs/>
          <w:sz w:val="28"/>
          <w:szCs w:val="28"/>
        </w:rPr>
      </w:pPr>
      <w:r>
        <w:rPr>
          <w:rFonts w:hint="eastAsia" w:ascii="宋体" w:hAnsi="宋体" w:cs="华文中宋"/>
          <w:sz w:val="28"/>
          <w:szCs w:val="28"/>
        </w:rPr>
        <w:t>答；学校非常注重考研，提供良好的学习环境，并安排专业老师指导，学校考研率逐步提升。</w:t>
      </w:r>
    </w:p>
    <w:p>
      <w:pPr>
        <w:spacing w:line="360" w:lineRule="auto"/>
        <w:rPr>
          <w:rFonts w:ascii="宋体" w:hAnsi="宋体" w:cs="华文中宋"/>
          <w:b/>
          <w:bCs/>
          <w:sz w:val="28"/>
          <w:szCs w:val="28"/>
        </w:rPr>
      </w:pPr>
      <w:r>
        <w:rPr>
          <w:rFonts w:hint="eastAsia" w:ascii="宋体" w:hAnsi="宋体" w:cs="华文中宋"/>
          <w:b/>
          <w:bCs/>
          <w:sz w:val="28"/>
          <w:szCs w:val="28"/>
        </w:rPr>
        <w:t>21.艺术体育类专业相关情况。</w:t>
      </w:r>
    </w:p>
    <w:p>
      <w:pPr>
        <w:spacing w:line="360" w:lineRule="auto"/>
        <w:rPr>
          <w:rFonts w:ascii="宋体" w:hAnsi="宋体" w:cs="华文中宋"/>
          <w:sz w:val="28"/>
          <w:szCs w:val="28"/>
        </w:rPr>
      </w:pPr>
      <w:r>
        <w:rPr>
          <w:rFonts w:hint="eastAsia" w:ascii="宋体" w:hAnsi="宋体" w:cs="华文中宋"/>
          <w:sz w:val="28"/>
          <w:szCs w:val="28"/>
        </w:rPr>
        <w:t>答</w:t>
      </w:r>
      <w:r>
        <w:rPr>
          <w:rFonts w:hint="eastAsia" w:ascii="宋体" w:hAnsi="宋体" w:cs="华文中宋"/>
          <w:sz w:val="28"/>
          <w:szCs w:val="28"/>
          <w:lang w:eastAsia="zh-CN"/>
        </w:rPr>
        <w:t>：</w:t>
      </w:r>
      <w:r>
        <w:rPr>
          <w:rFonts w:hint="eastAsia" w:ascii="宋体" w:hAnsi="宋体" w:cs="华文中宋"/>
          <w:sz w:val="28"/>
          <w:szCs w:val="28"/>
        </w:rPr>
        <w:t>四川省：艺术类专业，文化专业双上线，按照专业分数投档录取，其中</w:t>
      </w:r>
      <w:r>
        <w:rPr>
          <w:rFonts w:hint="eastAsia" w:ascii="宋体" w:hAnsi="宋体" w:cs="华文中宋"/>
          <w:b/>
          <w:bCs/>
          <w:sz w:val="28"/>
          <w:szCs w:val="28"/>
        </w:rPr>
        <w:t>广播电视编导</w:t>
      </w:r>
      <w:r>
        <w:rPr>
          <w:rFonts w:hint="eastAsia" w:ascii="宋体" w:hAnsi="宋体" w:cs="华文中宋"/>
          <w:sz w:val="28"/>
          <w:szCs w:val="28"/>
        </w:rPr>
        <w:t>是按照文化成绩投档录取。体育类专业，双上线，按照专业成绩投档录取。</w:t>
      </w:r>
    </w:p>
    <w:p>
      <w:pPr>
        <w:spacing w:line="360" w:lineRule="auto"/>
        <w:rPr>
          <w:rFonts w:ascii="宋体" w:hAnsi="宋体" w:cs="华文中宋"/>
          <w:sz w:val="28"/>
          <w:szCs w:val="28"/>
        </w:rPr>
      </w:pPr>
      <w:r>
        <w:rPr>
          <w:rFonts w:hint="eastAsia" w:ascii="宋体" w:hAnsi="宋体" w:cs="华文中宋"/>
          <w:sz w:val="28"/>
          <w:szCs w:val="28"/>
        </w:rPr>
        <w:t>外省：艺术类校考专业，文过专排；省外艺术类统考专业，一般是按照考试主管部门投档成绩排序录取，具体情况可咨询相关地区招生负责老师。尤其是校考专业，直接告知地区负责人电话。电话见附件。</w:t>
      </w:r>
    </w:p>
    <w:p>
      <w:pPr>
        <w:spacing w:line="360" w:lineRule="auto"/>
        <w:rPr>
          <w:rFonts w:ascii="宋体" w:hAnsi="宋体" w:cs="华文中宋"/>
          <w:b/>
          <w:bCs/>
          <w:sz w:val="28"/>
          <w:szCs w:val="28"/>
        </w:rPr>
      </w:pPr>
      <w:r>
        <w:rPr>
          <w:rFonts w:hint="eastAsia" w:ascii="宋体" w:hAnsi="宋体" w:cs="华文中宋"/>
          <w:b/>
          <w:bCs/>
          <w:sz w:val="28"/>
          <w:szCs w:val="28"/>
        </w:rPr>
        <w:t>22.你们学校在哪个位置？附近交通方便吗？</w:t>
      </w:r>
    </w:p>
    <w:p>
      <w:pPr>
        <w:spacing w:line="360" w:lineRule="auto"/>
        <w:rPr>
          <w:rFonts w:ascii="宋体" w:hAnsi="宋体" w:cs="华文中宋"/>
          <w:sz w:val="28"/>
          <w:szCs w:val="28"/>
        </w:rPr>
      </w:pPr>
      <w:r>
        <w:rPr>
          <w:rFonts w:hint="eastAsia" w:ascii="宋体" w:hAnsi="宋体" w:cs="华文中宋"/>
          <w:sz w:val="28"/>
          <w:szCs w:val="28"/>
        </w:rPr>
        <w:t>答：学校处于成都市金堂县，四十分钟左右到达成都东站，可以通过天府行等乘车方式直达成都东站，另外学校有开放校园直通车。</w:t>
      </w:r>
    </w:p>
    <w:p>
      <w:pPr>
        <w:spacing w:line="360" w:lineRule="auto"/>
        <w:rPr>
          <w:rFonts w:ascii="宋体" w:hAnsi="宋体" w:cs="华文中宋"/>
          <w:sz w:val="28"/>
          <w:szCs w:val="28"/>
        </w:rPr>
      </w:pPr>
      <w:r>
        <w:rPr>
          <w:rFonts w:hint="eastAsia" w:ascii="宋体" w:hAnsi="宋体" w:cs="华文中宋"/>
          <w:b/>
          <w:bCs/>
          <w:sz w:val="28"/>
          <w:szCs w:val="28"/>
        </w:rPr>
        <w:t>23.宿舍环境怎么样？</w:t>
      </w:r>
    </w:p>
    <w:p>
      <w:pPr>
        <w:spacing w:line="360" w:lineRule="auto"/>
        <w:rPr>
          <w:rFonts w:ascii="宋体" w:hAnsi="宋体" w:cs="华文中宋"/>
          <w:sz w:val="28"/>
          <w:szCs w:val="28"/>
        </w:rPr>
      </w:pPr>
      <w:r>
        <w:rPr>
          <w:rFonts w:hint="eastAsia" w:ascii="宋体" w:hAnsi="宋体" w:cs="华文中宋"/>
          <w:sz w:val="28"/>
          <w:szCs w:val="28"/>
        </w:rPr>
        <w:t>答：目前是八人和六人随机分配（部分上床下桌），独立卫浴和阳台并配有空调，配套设施完善。</w:t>
      </w:r>
    </w:p>
    <w:p>
      <w:pPr>
        <w:spacing w:line="360" w:lineRule="auto"/>
        <w:rPr>
          <w:rFonts w:ascii="宋体" w:hAnsi="宋体" w:cs="华文中宋"/>
          <w:b/>
          <w:bCs/>
          <w:sz w:val="28"/>
          <w:szCs w:val="28"/>
        </w:rPr>
      </w:pPr>
      <w:r>
        <w:rPr>
          <w:rFonts w:hint="eastAsia" w:ascii="宋体" w:hAnsi="宋体" w:cs="华文中宋"/>
          <w:b/>
          <w:bCs/>
          <w:sz w:val="28"/>
          <w:szCs w:val="28"/>
        </w:rPr>
        <w:t>24.学习条件和学习氛围怎么样？</w:t>
      </w:r>
    </w:p>
    <w:p>
      <w:pPr>
        <w:spacing w:line="360" w:lineRule="auto"/>
        <w:rPr>
          <w:rFonts w:ascii="宋体" w:hAnsi="宋体" w:cs="华文中宋"/>
          <w:sz w:val="28"/>
          <w:szCs w:val="28"/>
        </w:rPr>
      </w:pPr>
      <w:r>
        <w:rPr>
          <w:rFonts w:hint="eastAsia" w:ascii="宋体" w:hAnsi="宋体" w:cs="华文中宋"/>
          <w:sz w:val="28"/>
          <w:szCs w:val="28"/>
        </w:rPr>
        <w:t>答：学校图书馆以及专门自习室为学生学习提供场所，并且学校图书馆还安装有电子图书查询系统方便学生快速查找书籍，同样在图书馆以及自习室内都安装有空调，给学生阅读学习提供优质的环境。在学习氛围方面，各学院会为学生准备各种类型的专业比赛。</w:t>
      </w:r>
    </w:p>
    <w:p>
      <w:pPr>
        <w:spacing w:line="360" w:lineRule="auto"/>
        <w:rPr>
          <w:rFonts w:ascii="宋体" w:hAnsi="宋体" w:cs="华文中宋"/>
          <w:b/>
          <w:bCs/>
          <w:sz w:val="28"/>
          <w:szCs w:val="28"/>
        </w:rPr>
      </w:pPr>
      <w:r>
        <w:rPr>
          <w:rFonts w:hint="eastAsia" w:ascii="宋体" w:hAnsi="宋体" w:cs="华文中宋"/>
          <w:b/>
          <w:bCs/>
          <w:sz w:val="28"/>
          <w:szCs w:val="28"/>
        </w:rPr>
        <w:t>25</w:t>
      </w:r>
      <w:r>
        <w:rPr>
          <w:rFonts w:hint="eastAsia" w:ascii="宋体" w:hAnsi="宋体" w:cs="华文中宋"/>
          <w:sz w:val="28"/>
          <w:szCs w:val="28"/>
        </w:rPr>
        <w:t>.</w:t>
      </w:r>
      <w:r>
        <w:rPr>
          <w:rFonts w:hint="eastAsia" w:ascii="宋体" w:hAnsi="宋体" w:cs="华文中宋"/>
          <w:b/>
          <w:bCs/>
          <w:sz w:val="28"/>
          <w:szCs w:val="28"/>
        </w:rPr>
        <w:t>有几个食堂？附近有美食吗</w:t>
      </w:r>
      <w:r>
        <w:rPr>
          <w:rFonts w:hint="eastAsia" w:ascii="宋体" w:hAnsi="宋体" w:cs="华文中宋"/>
          <w:b/>
          <w:bCs/>
          <w:sz w:val="28"/>
          <w:szCs w:val="28"/>
          <w:lang w:eastAsia="zh-CN"/>
        </w:rPr>
        <w:t>？</w:t>
      </w:r>
    </w:p>
    <w:p>
      <w:pPr>
        <w:spacing w:line="360" w:lineRule="auto"/>
        <w:rPr>
          <w:rFonts w:ascii="宋体" w:hAnsi="宋体" w:cs="华文中宋"/>
          <w:sz w:val="28"/>
          <w:szCs w:val="28"/>
        </w:rPr>
      </w:pPr>
      <w:r>
        <w:rPr>
          <w:rFonts w:hint="eastAsia" w:ascii="宋体" w:hAnsi="宋体" w:cs="华文中宋"/>
          <w:sz w:val="28"/>
          <w:szCs w:val="28"/>
        </w:rPr>
        <w:t>答：学校有两个食堂，其中有很多知名商家入驻，学校还有一条商业街，街上有琳琅满目的小吃；同时因为学校地处金堂大学城，周围美食、电影城、超市等应有尽有。</w:t>
      </w:r>
    </w:p>
    <w:p>
      <w:pPr>
        <w:spacing w:line="360" w:lineRule="auto"/>
        <w:rPr>
          <w:rFonts w:ascii="宋体" w:hAnsi="宋体" w:cs="华文中宋"/>
          <w:b/>
          <w:bCs/>
          <w:sz w:val="28"/>
          <w:szCs w:val="28"/>
        </w:rPr>
      </w:pPr>
      <w:r>
        <w:rPr>
          <w:rFonts w:hint="eastAsia" w:ascii="宋体" w:hAnsi="宋体" w:cs="华文中宋"/>
          <w:b/>
          <w:bCs/>
          <w:sz w:val="28"/>
          <w:szCs w:val="28"/>
        </w:rPr>
        <w:t>26.学校环境怎么样？占地多少，有足够的活动场地吗？</w:t>
      </w:r>
    </w:p>
    <w:p>
      <w:pPr>
        <w:spacing w:line="360" w:lineRule="auto"/>
        <w:rPr>
          <w:rFonts w:ascii="宋体" w:hAnsi="宋体" w:cs="华文中宋"/>
          <w:sz w:val="28"/>
          <w:szCs w:val="28"/>
        </w:rPr>
      </w:pPr>
      <w:r>
        <w:rPr>
          <w:rFonts w:hint="eastAsia" w:ascii="宋体" w:hAnsi="宋体" w:cs="华文中宋"/>
          <w:sz w:val="28"/>
          <w:szCs w:val="28"/>
        </w:rPr>
        <w:t>答：四川省园林式大学，环境优美，学校占地1600多亩地，场地宽敞，有标准体育馆一个，篮球场若干、足球场两个，设有高尔夫训练场，完全可以满足学生活动。</w:t>
      </w:r>
    </w:p>
    <w:p>
      <w:pPr>
        <w:spacing w:line="360" w:lineRule="auto"/>
        <w:rPr>
          <w:rFonts w:ascii="宋体" w:hAnsi="宋体" w:cs="华文中宋"/>
          <w:b/>
          <w:bCs/>
          <w:sz w:val="28"/>
          <w:szCs w:val="28"/>
        </w:rPr>
      </w:pPr>
      <w:r>
        <w:rPr>
          <w:rFonts w:hint="eastAsia" w:ascii="宋体" w:hAnsi="宋体" w:cs="华文中宋"/>
          <w:b/>
          <w:bCs/>
          <w:sz w:val="28"/>
          <w:szCs w:val="28"/>
        </w:rPr>
        <w:t>27</w:t>
      </w:r>
      <w:r>
        <w:rPr>
          <w:rFonts w:ascii="宋体" w:hAnsi="宋体" w:cs="华文中宋"/>
          <w:b/>
          <w:bCs/>
          <w:sz w:val="28"/>
          <w:szCs w:val="28"/>
        </w:rPr>
        <w:t>.</w:t>
      </w:r>
      <w:r>
        <w:rPr>
          <w:rFonts w:hint="eastAsia" w:ascii="宋体" w:hAnsi="宋体" w:cs="华文中宋"/>
          <w:b/>
          <w:bCs/>
          <w:sz w:val="28"/>
          <w:szCs w:val="28"/>
        </w:rPr>
        <w:t>学校有哪些社团，如何加入？</w:t>
      </w:r>
    </w:p>
    <w:p>
      <w:pPr>
        <w:spacing w:line="360" w:lineRule="auto"/>
        <w:rPr>
          <w:rFonts w:ascii="宋体" w:hAnsi="宋体" w:cs="华文中宋"/>
          <w:sz w:val="28"/>
          <w:szCs w:val="28"/>
        </w:rPr>
      </w:pPr>
      <w:r>
        <w:rPr>
          <w:rFonts w:hint="eastAsia" w:ascii="宋体" w:hAnsi="宋体" w:cs="华文中宋"/>
          <w:sz w:val="28"/>
          <w:szCs w:val="28"/>
        </w:rPr>
        <w:t>答：学校有团委、学生会、校联、招生就业服务中心等校级学生组织，同时还有各个二级学院学生组织，象棋社、围棋社、街舞协会等大大小小学生组织百余个，学生可以根据自己的兴趣爱好自由选择加入。</w:t>
      </w: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r>
        <w:rPr>
          <w:rFonts w:hint="eastAsia" w:ascii="宋体" w:hAnsi="宋体" w:cs="华文中宋"/>
          <w:b/>
          <w:bCs/>
          <w:sz w:val="28"/>
          <w:szCs w:val="28"/>
        </w:rPr>
        <w:t>28</w:t>
      </w:r>
      <w:r>
        <w:rPr>
          <w:rFonts w:ascii="宋体" w:hAnsi="宋体" w:cs="华文中宋"/>
          <w:b/>
          <w:bCs/>
          <w:sz w:val="28"/>
          <w:szCs w:val="28"/>
        </w:rPr>
        <w:t>.</w:t>
      </w:r>
      <w:r>
        <w:rPr>
          <w:rFonts w:hint="eastAsia" w:ascii="宋体" w:hAnsi="宋体" w:cs="华文中宋"/>
          <w:b/>
          <w:bCs/>
          <w:sz w:val="28"/>
          <w:szCs w:val="28"/>
        </w:rPr>
        <w:t>学历提升有哪些途径？</w:t>
      </w:r>
    </w:p>
    <w:p>
      <w:pPr>
        <w:spacing w:line="360" w:lineRule="auto"/>
        <w:jc w:val="left"/>
        <w:rPr>
          <w:rFonts w:ascii="宋体" w:hAnsi="宋体" w:cs="华文中宋"/>
          <w:sz w:val="28"/>
          <w:szCs w:val="28"/>
        </w:rPr>
      </w:pPr>
      <w:r>
        <w:rPr>
          <w:rFonts w:hint="eastAsia" w:ascii="宋体" w:hAnsi="宋体" w:cs="华文中宋"/>
          <w:sz w:val="28"/>
          <w:szCs w:val="28"/>
        </w:rPr>
        <w:t>答：</w:t>
      </w:r>
      <w:r>
        <w:rPr>
          <w:rFonts w:ascii="宋体" w:hAnsi="宋体" w:cs="华文中宋"/>
          <w:sz w:val="28"/>
          <w:szCs w:val="28"/>
        </w:rPr>
        <w:drawing>
          <wp:inline distT="0" distB="0" distL="0" distR="0">
            <wp:extent cx="5274310" cy="3529965"/>
            <wp:effectExtent l="0" t="0" r="2540" b="0"/>
            <wp:docPr id="21334089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408977"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529965"/>
                    </a:xfrm>
                    <a:prstGeom prst="rect">
                      <a:avLst/>
                    </a:prstGeom>
                    <a:noFill/>
                    <a:ln>
                      <a:noFill/>
                    </a:ln>
                  </pic:spPr>
                </pic:pic>
              </a:graphicData>
            </a:graphic>
          </wp:inline>
        </w:drawing>
      </w:r>
      <w:r>
        <w:rPr>
          <w:rFonts w:ascii="宋体" w:hAnsi="宋体" w:cs="华文中宋"/>
          <w:sz w:val="28"/>
          <w:szCs w:val="28"/>
        </w:rPr>
        <w:t xml:space="preserve"> </w:t>
      </w:r>
    </w:p>
    <w:p>
      <w:pPr>
        <w:spacing w:line="360" w:lineRule="auto"/>
        <w:rPr>
          <w:rFonts w:ascii="宋体" w:hAnsi="宋体" w:cs="华文中宋"/>
          <w:sz w:val="28"/>
          <w:szCs w:val="28"/>
        </w:rPr>
      </w:pPr>
      <w:r>
        <w:rPr>
          <w:rFonts w:hint="eastAsia" w:ascii="宋体" w:hAnsi="宋体" w:cs="华文中宋"/>
          <w:sz w:val="28"/>
          <w:szCs w:val="28"/>
        </w:rPr>
        <w:t>辅修双学位的专业要看</w:t>
      </w:r>
      <w:r>
        <w:rPr>
          <w:rFonts w:hint="eastAsia" w:ascii="宋体" w:hAnsi="宋体" w:cs="华文中宋"/>
          <w:sz w:val="28"/>
          <w:szCs w:val="28"/>
          <w:lang w:eastAsia="zh-CN"/>
        </w:rPr>
        <w:t>学生</w:t>
      </w:r>
      <w:r>
        <w:rPr>
          <w:rFonts w:hint="eastAsia" w:ascii="宋体" w:hAnsi="宋体" w:cs="华文中宋"/>
          <w:sz w:val="28"/>
          <w:szCs w:val="28"/>
        </w:rPr>
        <w:t>当年的政策。</w:t>
      </w: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b/>
          <w:bCs/>
          <w:sz w:val="28"/>
          <w:szCs w:val="28"/>
        </w:rPr>
      </w:pPr>
      <w:r>
        <w:rPr>
          <w:rFonts w:hint="eastAsia" w:ascii="宋体" w:hAnsi="宋体" w:cs="华文中宋"/>
          <w:b/>
          <w:bCs/>
          <w:sz w:val="28"/>
          <w:szCs w:val="28"/>
        </w:rPr>
        <w:t>附件1：各省份招生负责老师</w:t>
      </w:r>
    </w:p>
    <w:tbl>
      <w:tblPr>
        <w:tblStyle w:val="5"/>
        <w:tblW w:w="10889" w:type="dxa"/>
        <w:jc w:val="center"/>
        <w:tblLayout w:type="autofit"/>
        <w:tblCellMar>
          <w:top w:w="0" w:type="dxa"/>
          <w:left w:w="108" w:type="dxa"/>
          <w:bottom w:w="0" w:type="dxa"/>
          <w:right w:w="108" w:type="dxa"/>
        </w:tblCellMar>
      </w:tblPr>
      <w:tblGrid>
        <w:gridCol w:w="4069"/>
        <w:gridCol w:w="3002"/>
        <w:gridCol w:w="1136"/>
        <w:gridCol w:w="2682"/>
      </w:tblGrid>
      <w:tr>
        <w:tblPrEx>
          <w:tblCellMar>
            <w:top w:w="0" w:type="dxa"/>
            <w:left w:w="108" w:type="dxa"/>
            <w:bottom w:w="0" w:type="dxa"/>
            <w:right w:w="108" w:type="dxa"/>
          </w:tblCellMar>
        </w:tblPrEx>
        <w:trPr>
          <w:trHeight w:val="665" w:hRule="atLeast"/>
          <w:jc w:val="center"/>
        </w:trPr>
        <w:tc>
          <w:tcPr>
            <w:tcW w:w="40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b/>
                <w:bCs/>
                <w:kern w:val="0"/>
                <w:sz w:val="24"/>
              </w:rPr>
            </w:pPr>
            <w:r>
              <w:rPr>
                <w:rFonts w:hint="eastAsia" w:ascii="微软雅黑" w:hAnsi="微软雅黑" w:eastAsia="微软雅黑"/>
                <w:b/>
                <w:bCs/>
                <w:kern w:val="0"/>
                <w:sz w:val="24"/>
              </w:rPr>
              <w:t>省外各地区</w:t>
            </w:r>
          </w:p>
        </w:tc>
        <w:tc>
          <w:tcPr>
            <w:tcW w:w="30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b/>
                <w:bCs/>
                <w:kern w:val="0"/>
                <w:sz w:val="24"/>
              </w:rPr>
            </w:pPr>
            <w:r>
              <w:rPr>
                <w:rFonts w:hint="eastAsia" w:ascii="微软雅黑" w:hAnsi="微软雅黑" w:eastAsia="微软雅黑"/>
                <w:b/>
                <w:bCs/>
                <w:kern w:val="0"/>
                <w:sz w:val="24"/>
              </w:rPr>
              <w:t>四川省各地市州</w:t>
            </w:r>
          </w:p>
        </w:tc>
        <w:tc>
          <w:tcPr>
            <w:tcW w:w="11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b/>
                <w:bCs/>
                <w:kern w:val="0"/>
                <w:sz w:val="24"/>
              </w:rPr>
            </w:pPr>
            <w:r>
              <w:rPr>
                <w:rFonts w:hint="eastAsia" w:ascii="微软雅黑" w:hAnsi="微软雅黑" w:eastAsia="微软雅黑"/>
                <w:b/>
                <w:bCs/>
                <w:kern w:val="0"/>
                <w:sz w:val="24"/>
              </w:rPr>
              <w:t>负责人</w:t>
            </w:r>
          </w:p>
        </w:tc>
        <w:tc>
          <w:tcPr>
            <w:tcW w:w="268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b/>
                <w:bCs/>
                <w:kern w:val="0"/>
                <w:sz w:val="24"/>
              </w:rPr>
            </w:pPr>
            <w:r>
              <w:rPr>
                <w:rFonts w:hint="eastAsia" w:ascii="微软雅黑" w:hAnsi="微软雅黑" w:eastAsia="微软雅黑"/>
                <w:b/>
                <w:bCs/>
                <w:kern w:val="0"/>
                <w:sz w:val="24"/>
              </w:rPr>
              <w:t>联系电话（同微信）</w:t>
            </w:r>
          </w:p>
        </w:tc>
      </w:tr>
      <w:tr>
        <w:tblPrEx>
          <w:tblCellMar>
            <w:top w:w="0" w:type="dxa"/>
            <w:left w:w="108" w:type="dxa"/>
            <w:bottom w:w="0" w:type="dxa"/>
            <w:right w:w="108" w:type="dxa"/>
          </w:tblCellMar>
        </w:tblPrEx>
        <w:trPr>
          <w:trHeight w:val="665" w:hRule="atLeast"/>
          <w:jc w:val="center"/>
        </w:trPr>
        <w:tc>
          <w:tcPr>
            <w:tcW w:w="40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广东、海南、新疆、浙江</w:t>
            </w:r>
          </w:p>
        </w:tc>
        <w:tc>
          <w:tcPr>
            <w:tcW w:w="300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达州、广元、内江</w:t>
            </w:r>
          </w:p>
        </w:tc>
        <w:tc>
          <w:tcPr>
            <w:tcW w:w="1136"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陈老师</w:t>
            </w:r>
          </w:p>
        </w:tc>
        <w:tc>
          <w:tcPr>
            <w:tcW w:w="268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13679092038</w:t>
            </w:r>
          </w:p>
        </w:tc>
      </w:tr>
      <w:tr>
        <w:tblPrEx>
          <w:tblCellMar>
            <w:top w:w="0" w:type="dxa"/>
            <w:left w:w="108" w:type="dxa"/>
            <w:bottom w:w="0" w:type="dxa"/>
            <w:right w:w="108" w:type="dxa"/>
          </w:tblCellMar>
        </w:tblPrEx>
        <w:trPr>
          <w:trHeight w:val="665" w:hRule="atLeast"/>
          <w:jc w:val="center"/>
        </w:trPr>
        <w:tc>
          <w:tcPr>
            <w:tcW w:w="40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河南、宁夏、陕西</w:t>
            </w:r>
          </w:p>
        </w:tc>
        <w:tc>
          <w:tcPr>
            <w:tcW w:w="300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雅安、绵阳、泸州</w:t>
            </w:r>
          </w:p>
        </w:tc>
        <w:tc>
          <w:tcPr>
            <w:tcW w:w="1136"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苟老师</w:t>
            </w:r>
          </w:p>
        </w:tc>
        <w:tc>
          <w:tcPr>
            <w:tcW w:w="268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18380248739</w:t>
            </w:r>
          </w:p>
        </w:tc>
      </w:tr>
      <w:tr>
        <w:tblPrEx>
          <w:tblCellMar>
            <w:top w:w="0" w:type="dxa"/>
            <w:left w:w="108" w:type="dxa"/>
            <w:bottom w:w="0" w:type="dxa"/>
            <w:right w:w="108" w:type="dxa"/>
          </w:tblCellMar>
        </w:tblPrEx>
        <w:trPr>
          <w:trHeight w:val="665" w:hRule="atLeast"/>
          <w:jc w:val="center"/>
        </w:trPr>
        <w:tc>
          <w:tcPr>
            <w:tcW w:w="40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河北、山西、上海、云南</w:t>
            </w:r>
          </w:p>
        </w:tc>
        <w:tc>
          <w:tcPr>
            <w:tcW w:w="300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宜宾、攀枝花、凉山</w:t>
            </w:r>
          </w:p>
        </w:tc>
        <w:tc>
          <w:tcPr>
            <w:tcW w:w="1136"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高老师</w:t>
            </w:r>
          </w:p>
        </w:tc>
        <w:tc>
          <w:tcPr>
            <w:tcW w:w="268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13693409390</w:t>
            </w:r>
          </w:p>
        </w:tc>
      </w:tr>
      <w:tr>
        <w:tblPrEx>
          <w:tblCellMar>
            <w:top w:w="0" w:type="dxa"/>
            <w:left w:w="108" w:type="dxa"/>
            <w:bottom w:w="0" w:type="dxa"/>
            <w:right w:w="108" w:type="dxa"/>
          </w:tblCellMar>
        </w:tblPrEx>
        <w:trPr>
          <w:trHeight w:val="665" w:hRule="atLeast"/>
          <w:jc w:val="center"/>
        </w:trPr>
        <w:tc>
          <w:tcPr>
            <w:tcW w:w="40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黑龙江、吉林、内蒙古、天津</w:t>
            </w:r>
          </w:p>
        </w:tc>
        <w:tc>
          <w:tcPr>
            <w:tcW w:w="300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德阳、遂宁、广安</w:t>
            </w:r>
          </w:p>
        </w:tc>
        <w:tc>
          <w:tcPr>
            <w:tcW w:w="1136"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王老师</w:t>
            </w:r>
          </w:p>
        </w:tc>
        <w:tc>
          <w:tcPr>
            <w:tcW w:w="268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18382373585</w:t>
            </w:r>
          </w:p>
        </w:tc>
      </w:tr>
      <w:tr>
        <w:tblPrEx>
          <w:tblCellMar>
            <w:top w:w="0" w:type="dxa"/>
            <w:left w:w="108" w:type="dxa"/>
            <w:bottom w:w="0" w:type="dxa"/>
            <w:right w:w="108" w:type="dxa"/>
          </w:tblCellMar>
        </w:tblPrEx>
        <w:trPr>
          <w:trHeight w:val="665" w:hRule="atLeast"/>
          <w:jc w:val="center"/>
        </w:trPr>
        <w:tc>
          <w:tcPr>
            <w:tcW w:w="40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山东、重庆、湖北、甘肃</w:t>
            </w:r>
          </w:p>
        </w:tc>
        <w:tc>
          <w:tcPr>
            <w:tcW w:w="300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南充</w:t>
            </w:r>
          </w:p>
        </w:tc>
        <w:tc>
          <w:tcPr>
            <w:tcW w:w="1136"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周老师</w:t>
            </w:r>
          </w:p>
        </w:tc>
        <w:tc>
          <w:tcPr>
            <w:tcW w:w="268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18581522736</w:t>
            </w:r>
          </w:p>
        </w:tc>
      </w:tr>
      <w:tr>
        <w:tblPrEx>
          <w:tblCellMar>
            <w:top w:w="0" w:type="dxa"/>
            <w:left w:w="108" w:type="dxa"/>
            <w:bottom w:w="0" w:type="dxa"/>
            <w:right w:w="108" w:type="dxa"/>
          </w:tblCellMar>
        </w:tblPrEx>
        <w:trPr>
          <w:trHeight w:val="665" w:hRule="atLeast"/>
          <w:jc w:val="center"/>
        </w:trPr>
        <w:tc>
          <w:tcPr>
            <w:tcW w:w="406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安徽、江苏</w:t>
            </w:r>
          </w:p>
        </w:tc>
        <w:tc>
          <w:tcPr>
            <w:tcW w:w="300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眉山</w:t>
            </w:r>
          </w:p>
        </w:tc>
        <w:tc>
          <w:tcPr>
            <w:tcW w:w="1136"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袁老师</w:t>
            </w:r>
          </w:p>
        </w:tc>
        <w:tc>
          <w:tcPr>
            <w:tcW w:w="268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18030439556</w:t>
            </w:r>
          </w:p>
        </w:tc>
      </w:tr>
      <w:tr>
        <w:tblPrEx>
          <w:tblCellMar>
            <w:top w:w="0" w:type="dxa"/>
            <w:left w:w="108" w:type="dxa"/>
            <w:bottom w:w="0" w:type="dxa"/>
            <w:right w:w="108" w:type="dxa"/>
          </w:tblCellMar>
        </w:tblPrEx>
        <w:trPr>
          <w:trHeight w:val="665" w:hRule="atLeast"/>
          <w:jc w:val="center"/>
        </w:trPr>
        <w:tc>
          <w:tcPr>
            <w:tcW w:w="4069"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olor w:val="000000"/>
                <w:kern w:val="0"/>
                <w:sz w:val="24"/>
              </w:rPr>
            </w:pPr>
          </w:p>
        </w:tc>
        <w:tc>
          <w:tcPr>
            <w:tcW w:w="300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乐山、资阳</w:t>
            </w:r>
          </w:p>
        </w:tc>
        <w:tc>
          <w:tcPr>
            <w:tcW w:w="1136"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许老师</w:t>
            </w:r>
          </w:p>
        </w:tc>
        <w:tc>
          <w:tcPr>
            <w:tcW w:w="2682"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13550346169</w:t>
            </w:r>
          </w:p>
        </w:tc>
      </w:tr>
      <w:tr>
        <w:tblPrEx>
          <w:tblCellMar>
            <w:top w:w="0" w:type="dxa"/>
            <w:left w:w="108" w:type="dxa"/>
            <w:bottom w:w="0" w:type="dxa"/>
            <w:right w:w="108" w:type="dxa"/>
          </w:tblCellMar>
        </w:tblPrEx>
        <w:trPr>
          <w:trHeight w:val="665" w:hRule="atLeast"/>
          <w:jc w:val="center"/>
        </w:trPr>
        <w:tc>
          <w:tcPr>
            <w:tcW w:w="40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江西</w:t>
            </w:r>
          </w:p>
        </w:tc>
        <w:tc>
          <w:tcPr>
            <w:tcW w:w="300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成都</w:t>
            </w:r>
          </w:p>
        </w:tc>
        <w:tc>
          <w:tcPr>
            <w:tcW w:w="1136"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万老师</w:t>
            </w:r>
          </w:p>
        </w:tc>
        <w:tc>
          <w:tcPr>
            <w:tcW w:w="268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17398888847</w:t>
            </w:r>
          </w:p>
        </w:tc>
      </w:tr>
      <w:tr>
        <w:tblPrEx>
          <w:tblCellMar>
            <w:top w:w="0" w:type="dxa"/>
            <w:left w:w="108" w:type="dxa"/>
            <w:bottom w:w="0" w:type="dxa"/>
            <w:right w:w="108" w:type="dxa"/>
          </w:tblCellMar>
        </w:tblPrEx>
        <w:trPr>
          <w:trHeight w:val="665" w:hRule="atLeast"/>
          <w:jc w:val="center"/>
        </w:trPr>
        <w:tc>
          <w:tcPr>
            <w:tcW w:w="40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w:t>
            </w:r>
          </w:p>
        </w:tc>
        <w:tc>
          <w:tcPr>
            <w:tcW w:w="300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自贡、巴中</w:t>
            </w:r>
          </w:p>
        </w:tc>
        <w:tc>
          <w:tcPr>
            <w:tcW w:w="1136"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刘老师</w:t>
            </w:r>
          </w:p>
        </w:tc>
        <w:tc>
          <w:tcPr>
            <w:tcW w:w="2682"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olor w:val="000000"/>
                <w:kern w:val="0"/>
                <w:sz w:val="24"/>
              </w:rPr>
            </w:pPr>
            <w:r>
              <w:rPr>
                <w:rFonts w:hint="eastAsia" w:ascii="微软雅黑" w:hAnsi="微软雅黑" w:eastAsia="微软雅黑"/>
                <w:color w:val="000000"/>
                <w:kern w:val="0"/>
                <w:sz w:val="24"/>
              </w:rPr>
              <w:t>18980001071</w:t>
            </w:r>
          </w:p>
        </w:tc>
      </w:tr>
    </w:tbl>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sz w:val="28"/>
          <w:szCs w:val="28"/>
        </w:rPr>
      </w:pPr>
    </w:p>
    <w:p>
      <w:pPr>
        <w:spacing w:line="360" w:lineRule="auto"/>
        <w:rPr>
          <w:rFonts w:ascii="宋体" w:hAnsi="宋体" w:cs="华文中宋"/>
          <w:b/>
          <w:bCs/>
          <w:sz w:val="28"/>
          <w:szCs w:val="28"/>
        </w:rPr>
      </w:pPr>
      <w:r>
        <w:rPr>
          <w:rFonts w:hint="eastAsia" w:ascii="宋体" w:hAnsi="宋体" w:cs="华文中宋"/>
          <w:b/>
          <w:bCs/>
          <w:sz w:val="28"/>
          <w:szCs w:val="28"/>
        </w:rPr>
        <w:t>附件</w:t>
      </w:r>
      <w:r>
        <w:rPr>
          <w:rFonts w:ascii="宋体" w:hAnsi="宋体" w:cs="华文中宋"/>
          <w:b/>
          <w:bCs/>
          <w:sz w:val="28"/>
          <w:szCs w:val="28"/>
        </w:rPr>
        <w:t>2</w:t>
      </w:r>
      <w:r>
        <w:rPr>
          <w:rFonts w:hint="eastAsia" w:ascii="宋体" w:hAnsi="宋体" w:cs="华文中宋"/>
          <w:b/>
          <w:bCs/>
          <w:sz w:val="28"/>
          <w:szCs w:val="28"/>
        </w:rPr>
        <w:t>：四川省近年参考分数线</w:t>
      </w:r>
    </w:p>
    <w:tbl>
      <w:tblPr>
        <w:tblStyle w:val="5"/>
        <w:tblW w:w="10263" w:type="dxa"/>
        <w:jc w:val="center"/>
        <w:tblLayout w:type="autofit"/>
        <w:tblCellMar>
          <w:top w:w="0" w:type="dxa"/>
          <w:left w:w="108" w:type="dxa"/>
          <w:bottom w:w="0" w:type="dxa"/>
          <w:right w:w="108" w:type="dxa"/>
        </w:tblCellMar>
      </w:tblPr>
      <w:tblGrid>
        <w:gridCol w:w="1063"/>
        <w:gridCol w:w="1595"/>
        <w:gridCol w:w="802"/>
        <w:gridCol w:w="923"/>
        <w:gridCol w:w="876"/>
        <w:gridCol w:w="802"/>
        <w:gridCol w:w="923"/>
        <w:gridCol w:w="876"/>
        <w:gridCol w:w="802"/>
        <w:gridCol w:w="802"/>
        <w:gridCol w:w="876"/>
      </w:tblGrid>
      <w:tr>
        <w:tblPrEx>
          <w:tblCellMar>
            <w:top w:w="0" w:type="dxa"/>
            <w:left w:w="108" w:type="dxa"/>
            <w:bottom w:w="0" w:type="dxa"/>
            <w:right w:w="108" w:type="dxa"/>
          </w:tblCellMar>
        </w:tblPrEx>
        <w:trPr>
          <w:trHeight w:val="572" w:hRule="atLeast"/>
          <w:jc w:val="center"/>
        </w:trPr>
        <w:tc>
          <w:tcPr>
            <w:tcW w:w="1026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b/>
                <w:bCs/>
                <w:kern w:val="0"/>
                <w:sz w:val="28"/>
                <w:szCs w:val="28"/>
              </w:rPr>
            </w:pPr>
            <w:bookmarkStart w:id="0" w:name="RANGE!A1:H12"/>
            <w:r>
              <w:rPr>
                <w:rFonts w:hint="eastAsia" w:ascii="宋体" w:hAnsi="宋体"/>
                <w:b/>
                <w:bCs/>
                <w:kern w:val="0"/>
                <w:sz w:val="28"/>
                <w:szCs w:val="28"/>
              </w:rPr>
              <w:t>普通类专业近三年参考分数线（四川省）</w:t>
            </w:r>
            <w:bookmarkEnd w:id="0"/>
          </w:p>
        </w:tc>
      </w:tr>
      <w:tr>
        <w:tblPrEx>
          <w:tblCellMar>
            <w:top w:w="0" w:type="dxa"/>
            <w:left w:w="108" w:type="dxa"/>
            <w:bottom w:w="0" w:type="dxa"/>
            <w:right w:w="108" w:type="dxa"/>
          </w:tblCellMar>
        </w:tblPrEx>
        <w:trPr>
          <w:trHeight w:val="572" w:hRule="atLeast"/>
          <w:jc w:val="center"/>
        </w:trPr>
        <w:tc>
          <w:tcPr>
            <w:tcW w:w="1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b/>
                <w:bCs/>
                <w:color w:val="000000"/>
                <w:kern w:val="0"/>
                <w:sz w:val="24"/>
                <w:lang w:eastAsia="zh-CN"/>
              </w:rPr>
            </w:pPr>
            <w:r>
              <w:rPr>
                <w:rFonts w:hint="eastAsia" w:ascii="宋体" w:hAnsi="宋体"/>
                <w:b/>
                <w:bCs/>
                <w:color w:val="000000"/>
                <w:kern w:val="0"/>
                <w:sz w:val="24"/>
              </w:rPr>
              <w:t>科类</w:t>
            </w:r>
          </w:p>
          <w:p>
            <w:pPr>
              <w:widowControl/>
              <w:jc w:val="center"/>
              <w:rPr>
                <w:rFonts w:ascii="宋体" w:hAnsi="宋体"/>
                <w:b/>
                <w:bCs/>
                <w:color w:val="000000"/>
                <w:kern w:val="0"/>
                <w:sz w:val="24"/>
              </w:rPr>
            </w:pPr>
            <w:r>
              <w:rPr>
                <w:rFonts w:hint="eastAsia" w:ascii="宋体" w:hAnsi="宋体"/>
                <w:b/>
                <w:bCs/>
                <w:color w:val="000000"/>
                <w:kern w:val="0"/>
                <w:sz w:val="24"/>
              </w:rPr>
              <w:t>（专业）</w:t>
            </w:r>
          </w:p>
        </w:tc>
        <w:tc>
          <w:tcPr>
            <w:tcW w:w="1595"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pPr>
              <w:widowControl/>
              <w:jc w:val="left"/>
              <w:rPr>
                <w:rFonts w:hint="eastAsia" w:ascii="宋体" w:hAnsi="宋体" w:eastAsia="宋体"/>
                <w:b/>
                <w:bCs/>
                <w:kern w:val="0"/>
                <w:sz w:val="24"/>
                <w:lang w:eastAsia="zh-CN"/>
              </w:rPr>
            </w:pPr>
            <w:r>
              <w:rPr>
                <w:rFonts w:hint="eastAsia" w:ascii="宋体" w:hAnsi="宋体"/>
                <w:b/>
                <w:bCs/>
                <w:kern w:val="0"/>
                <w:sz w:val="24"/>
              </w:rPr>
              <w:t xml:space="preserve">          年份</w:t>
            </w:r>
          </w:p>
          <w:p>
            <w:pPr>
              <w:widowControl/>
              <w:jc w:val="left"/>
              <w:rPr>
                <w:rFonts w:ascii="宋体" w:hAnsi="宋体"/>
                <w:b/>
                <w:bCs/>
                <w:kern w:val="0"/>
                <w:sz w:val="24"/>
              </w:rPr>
            </w:pPr>
            <w:r>
              <w:rPr>
                <w:rFonts w:hint="eastAsia" w:ascii="宋体" w:hAnsi="宋体"/>
                <w:b/>
                <w:bCs/>
                <w:kern w:val="0"/>
                <w:sz w:val="24"/>
              </w:rPr>
              <w:t>录取批次</w:t>
            </w:r>
          </w:p>
        </w:tc>
        <w:tc>
          <w:tcPr>
            <w:tcW w:w="257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kern w:val="0"/>
                <w:sz w:val="24"/>
              </w:rPr>
            </w:pPr>
            <w:r>
              <w:rPr>
                <w:rFonts w:hint="eastAsia" w:ascii="宋体" w:hAnsi="宋体"/>
                <w:b/>
                <w:bCs/>
                <w:kern w:val="0"/>
                <w:sz w:val="24"/>
              </w:rPr>
              <w:t>2020年</w:t>
            </w:r>
          </w:p>
        </w:tc>
        <w:tc>
          <w:tcPr>
            <w:tcW w:w="257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kern w:val="0"/>
                <w:sz w:val="24"/>
              </w:rPr>
            </w:pPr>
            <w:r>
              <w:rPr>
                <w:rFonts w:hint="eastAsia" w:ascii="宋体" w:hAnsi="宋体"/>
                <w:b/>
                <w:bCs/>
                <w:kern w:val="0"/>
                <w:sz w:val="24"/>
              </w:rPr>
              <w:t>2021年</w:t>
            </w:r>
          </w:p>
        </w:tc>
        <w:tc>
          <w:tcPr>
            <w:tcW w:w="245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kern w:val="0"/>
                <w:sz w:val="24"/>
              </w:rPr>
            </w:pPr>
            <w:r>
              <w:rPr>
                <w:rFonts w:hint="eastAsia" w:ascii="宋体" w:hAnsi="宋体"/>
                <w:b/>
                <w:bCs/>
                <w:kern w:val="0"/>
                <w:sz w:val="24"/>
              </w:rPr>
              <w:t>2022年</w:t>
            </w:r>
          </w:p>
        </w:tc>
      </w:tr>
      <w:tr>
        <w:tblPrEx>
          <w:tblCellMar>
            <w:top w:w="0" w:type="dxa"/>
            <w:left w:w="108" w:type="dxa"/>
            <w:bottom w:w="0" w:type="dxa"/>
            <w:right w:w="108" w:type="dxa"/>
          </w:tblCellMar>
        </w:tblPrEx>
        <w:trPr>
          <w:trHeight w:val="572" w:hRule="atLeast"/>
          <w:jc w:val="center"/>
        </w:trPr>
        <w:tc>
          <w:tcPr>
            <w:tcW w:w="10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000000"/>
                <w:kern w:val="0"/>
                <w:sz w:val="24"/>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24"/>
              </w:rPr>
            </w:pP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kern w:val="0"/>
                <w:sz w:val="24"/>
              </w:rPr>
            </w:pPr>
            <w:r>
              <w:rPr>
                <w:rFonts w:hint="eastAsia" w:ascii="宋体" w:hAnsi="宋体"/>
                <w:b/>
                <w:bCs/>
                <w:kern w:val="0"/>
                <w:sz w:val="24"/>
              </w:rPr>
              <w:t>省控线</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kern w:val="0"/>
                <w:sz w:val="24"/>
              </w:rPr>
            </w:pPr>
            <w:r>
              <w:rPr>
                <w:rFonts w:hint="eastAsia" w:ascii="宋体" w:hAnsi="宋体"/>
                <w:b/>
                <w:bCs/>
                <w:kern w:val="0"/>
                <w:sz w:val="24"/>
              </w:rPr>
              <w:t>投档线</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kern w:val="0"/>
                <w:sz w:val="24"/>
              </w:rPr>
            </w:pPr>
            <w:r>
              <w:rPr>
                <w:rFonts w:hint="eastAsia" w:ascii="宋体" w:hAnsi="宋体"/>
                <w:b/>
                <w:bCs/>
                <w:kern w:val="0"/>
                <w:sz w:val="24"/>
              </w:rPr>
              <w:t>位次</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kern w:val="0"/>
                <w:sz w:val="24"/>
              </w:rPr>
            </w:pPr>
            <w:r>
              <w:rPr>
                <w:rFonts w:hint="eastAsia" w:ascii="宋体" w:hAnsi="宋体"/>
                <w:b/>
                <w:bCs/>
                <w:kern w:val="0"/>
                <w:sz w:val="24"/>
              </w:rPr>
              <w:t>省控线</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kern w:val="0"/>
                <w:sz w:val="24"/>
              </w:rPr>
            </w:pPr>
            <w:r>
              <w:rPr>
                <w:rFonts w:hint="eastAsia" w:ascii="宋体" w:hAnsi="宋体"/>
                <w:b/>
                <w:bCs/>
                <w:kern w:val="0"/>
                <w:sz w:val="24"/>
              </w:rPr>
              <w:t>投档线</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kern w:val="0"/>
                <w:sz w:val="24"/>
              </w:rPr>
            </w:pPr>
            <w:r>
              <w:rPr>
                <w:rFonts w:hint="eastAsia" w:ascii="宋体" w:hAnsi="宋体"/>
                <w:b/>
                <w:bCs/>
                <w:kern w:val="0"/>
                <w:sz w:val="24"/>
              </w:rPr>
              <w:t>位次</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kern w:val="0"/>
                <w:sz w:val="24"/>
              </w:rPr>
            </w:pPr>
            <w:r>
              <w:rPr>
                <w:rFonts w:hint="eastAsia" w:ascii="宋体" w:hAnsi="宋体"/>
                <w:b/>
                <w:bCs/>
                <w:kern w:val="0"/>
                <w:sz w:val="24"/>
              </w:rPr>
              <w:t>省控线</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bCs/>
                <w:kern w:val="0"/>
                <w:sz w:val="24"/>
              </w:rPr>
            </w:pPr>
            <w:r>
              <w:rPr>
                <w:rFonts w:hint="eastAsia" w:ascii="宋体" w:hAnsi="宋体"/>
                <w:b/>
                <w:bCs/>
                <w:kern w:val="0"/>
                <w:sz w:val="24"/>
              </w:rPr>
              <w:t>投档线</w:t>
            </w:r>
          </w:p>
        </w:tc>
        <w:tc>
          <w:tcPr>
            <w:tcW w:w="84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b/>
                <w:bCs/>
                <w:kern w:val="0"/>
                <w:sz w:val="24"/>
              </w:rPr>
            </w:pPr>
            <w:r>
              <w:rPr>
                <w:rFonts w:hint="eastAsia" w:ascii="宋体" w:hAnsi="宋体"/>
                <w:b/>
                <w:bCs/>
                <w:kern w:val="0"/>
                <w:sz w:val="24"/>
              </w:rPr>
              <w:t>位次</w:t>
            </w:r>
          </w:p>
        </w:tc>
      </w:tr>
      <w:tr>
        <w:tblPrEx>
          <w:tblCellMar>
            <w:top w:w="0" w:type="dxa"/>
            <w:left w:w="108" w:type="dxa"/>
            <w:bottom w:w="0" w:type="dxa"/>
            <w:right w:w="108" w:type="dxa"/>
          </w:tblCellMar>
        </w:tblPrEx>
        <w:trPr>
          <w:trHeight w:val="572" w:hRule="atLeast"/>
          <w:jc w:val="center"/>
        </w:trPr>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文科</w:t>
            </w:r>
          </w:p>
        </w:tc>
        <w:tc>
          <w:tcPr>
            <w:tcW w:w="15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本科二批</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459</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482</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46791</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474</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499</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46741</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466</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500</w:t>
            </w:r>
          </w:p>
        </w:tc>
        <w:tc>
          <w:tcPr>
            <w:tcW w:w="8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45221</w:t>
            </w:r>
          </w:p>
        </w:tc>
      </w:tr>
      <w:tr>
        <w:tblPrEx>
          <w:tblCellMar>
            <w:top w:w="0" w:type="dxa"/>
            <w:left w:w="108" w:type="dxa"/>
            <w:bottom w:w="0" w:type="dxa"/>
            <w:right w:w="108" w:type="dxa"/>
          </w:tblCellMar>
        </w:tblPrEx>
        <w:trPr>
          <w:trHeight w:val="572" w:hRule="atLeast"/>
          <w:jc w:val="center"/>
        </w:trPr>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理科</w:t>
            </w:r>
          </w:p>
        </w:tc>
        <w:tc>
          <w:tcPr>
            <w:tcW w:w="15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本科二批</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443</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472</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141188</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430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461</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146612</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426</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459</w:t>
            </w:r>
          </w:p>
        </w:tc>
        <w:tc>
          <w:tcPr>
            <w:tcW w:w="8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147612</w:t>
            </w:r>
          </w:p>
        </w:tc>
      </w:tr>
      <w:tr>
        <w:tblPrEx>
          <w:tblCellMar>
            <w:top w:w="0" w:type="dxa"/>
            <w:left w:w="108" w:type="dxa"/>
            <w:bottom w:w="0" w:type="dxa"/>
            <w:right w:w="108" w:type="dxa"/>
          </w:tblCellMar>
        </w:tblPrEx>
        <w:trPr>
          <w:trHeight w:val="572" w:hRule="atLeast"/>
          <w:jc w:val="center"/>
        </w:trPr>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文科</w:t>
            </w:r>
          </w:p>
        </w:tc>
        <w:tc>
          <w:tcPr>
            <w:tcW w:w="15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专科批</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150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353</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147515</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150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372</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138662</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150</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372</w:t>
            </w:r>
          </w:p>
        </w:tc>
        <w:tc>
          <w:tcPr>
            <w:tcW w:w="8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144355</w:t>
            </w:r>
          </w:p>
        </w:tc>
      </w:tr>
      <w:tr>
        <w:tblPrEx>
          <w:tblCellMar>
            <w:top w:w="0" w:type="dxa"/>
            <w:left w:w="108" w:type="dxa"/>
            <w:bottom w:w="0" w:type="dxa"/>
            <w:right w:w="108" w:type="dxa"/>
          </w:tblCellMar>
        </w:tblPrEx>
        <w:trPr>
          <w:trHeight w:val="572" w:hRule="atLeast"/>
          <w:jc w:val="center"/>
        </w:trPr>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理科</w:t>
            </w:r>
          </w:p>
        </w:tc>
        <w:tc>
          <w:tcPr>
            <w:tcW w:w="15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专科批</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150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348</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229817</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150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319</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235965</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150</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328</w:t>
            </w:r>
          </w:p>
        </w:tc>
        <w:tc>
          <w:tcPr>
            <w:tcW w:w="8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253305</w:t>
            </w:r>
          </w:p>
        </w:tc>
      </w:tr>
      <w:tr>
        <w:tblPrEx>
          <w:tblCellMar>
            <w:top w:w="0" w:type="dxa"/>
            <w:left w:w="108" w:type="dxa"/>
            <w:bottom w:w="0" w:type="dxa"/>
            <w:right w:w="108" w:type="dxa"/>
          </w:tblCellMar>
        </w:tblPrEx>
        <w:trPr>
          <w:trHeight w:val="572" w:hRule="atLeast"/>
          <w:jc w:val="center"/>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文科</w:t>
            </w:r>
          </w:p>
        </w:tc>
        <w:tc>
          <w:tcPr>
            <w:tcW w:w="15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专科提前批（空乘）</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150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349</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Cs w:val="21"/>
              </w:rPr>
            </w:pPr>
            <w:r>
              <w:rPr>
                <w:rFonts w:hint="eastAsia" w:ascii="宋体" w:hAnsi="宋体"/>
                <w:color w:val="000000"/>
                <w:kern w:val="0"/>
                <w:szCs w:val="21"/>
              </w:rPr>
              <w:t>150228</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150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251</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190369</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150</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334</w:t>
            </w:r>
          </w:p>
        </w:tc>
        <w:tc>
          <w:tcPr>
            <w:tcW w:w="8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169904</w:t>
            </w:r>
          </w:p>
        </w:tc>
      </w:tr>
      <w:tr>
        <w:tblPrEx>
          <w:tblCellMar>
            <w:top w:w="0" w:type="dxa"/>
            <w:left w:w="108" w:type="dxa"/>
            <w:bottom w:w="0" w:type="dxa"/>
            <w:right w:w="108" w:type="dxa"/>
          </w:tblCellMar>
        </w:tblPrEx>
        <w:trPr>
          <w:trHeight w:val="572" w:hRule="atLeast"/>
          <w:jc w:val="center"/>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理科</w:t>
            </w:r>
          </w:p>
        </w:tc>
        <w:tc>
          <w:tcPr>
            <w:tcW w:w="15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专科提前批（空乘）</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150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397</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Cs w:val="21"/>
              </w:rPr>
            </w:pPr>
            <w:r>
              <w:rPr>
                <w:rFonts w:hint="eastAsia" w:ascii="宋体" w:hAnsi="宋体"/>
                <w:color w:val="000000"/>
                <w:kern w:val="0"/>
                <w:szCs w:val="21"/>
              </w:rPr>
              <w:t>206133</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150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258</w:t>
            </w:r>
          </w:p>
        </w:tc>
        <w:tc>
          <w:tcPr>
            <w:tcW w:w="8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188798</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150</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150</w:t>
            </w:r>
          </w:p>
        </w:tc>
        <w:tc>
          <w:tcPr>
            <w:tcW w:w="84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284053</w:t>
            </w:r>
          </w:p>
        </w:tc>
      </w:tr>
      <w:tr>
        <w:tblPrEx>
          <w:tblCellMar>
            <w:top w:w="0" w:type="dxa"/>
            <w:left w:w="108" w:type="dxa"/>
            <w:bottom w:w="0" w:type="dxa"/>
            <w:right w:w="108" w:type="dxa"/>
          </w:tblCellMar>
        </w:tblPrEx>
        <w:trPr>
          <w:trHeight w:val="572" w:hRule="atLeast"/>
          <w:jc w:val="center"/>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电子商务</w:t>
            </w:r>
          </w:p>
        </w:tc>
        <w:tc>
          <w:tcPr>
            <w:tcW w:w="15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对口专科</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187</w:t>
            </w:r>
          </w:p>
        </w:tc>
        <w:tc>
          <w:tcPr>
            <w:tcW w:w="848"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199</w:t>
            </w:r>
          </w:p>
        </w:tc>
        <w:tc>
          <w:tcPr>
            <w:tcW w:w="848"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240</w:t>
            </w:r>
          </w:p>
        </w:tc>
        <w:tc>
          <w:tcPr>
            <w:tcW w:w="849"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r>
      <w:tr>
        <w:tblPrEx>
          <w:tblCellMar>
            <w:top w:w="0" w:type="dxa"/>
            <w:left w:w="108" w:type="dxa"/>
            <w:bottom w:w="0" w:type="dxa"/>
            <w:right w:w="108" w:type="dxa"/>
          </w:tblCellMar>
        </w:tblPrEx>
        <w:trPr>
          <w:trHeight w:val="572" w:hRule="atLeast"/>
          <w:jc w:val="center"/>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学前教育</w:t>
            </w:r>
          </w:p>
        </w:tc>
        <w:tc>
          <w:tcPr>
            <w:tcW w:w="15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对口专科</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355</w:t>
            </w:r>
          </w:p>
        </w:tc>
        <w:tc>
          <w:tcPr>
            <w:tcW w:w="848"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262</w:t>
            </w:r>
          </w:p>
        </w:tc>
        <w:tc>
          <w:tcPr>
            <w:tcW w:w="848"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344</w:t>
            </w:r>
          </w:p>
        </w:tc>
        <w:tc>
          <w:tcPr>
            <w:tcW w:w="849"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r>
      <w:tr>
        <w:tblPrEx>
          <w:tblCellMar>
            <w:top w:w="0" w:type="dxa"/>
            <w:left w:w="108" w:type="dxa"/>
            <w:bottom w:w="0" w:type="dxa"/>
            <w:right w:w="108" w:type="dxa"/>
          </w:tblCellMar>
        </w:tblPrEx>
        <w:trPr>
          <w:trHeight w:val="572" w:hRule="atLeast"/>
          <w:jc w:val="center"/>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护理</w:t>
            </w:r>
          </w:p>
        </w:tc>
        <w:tc>
          <w:tcPr>
            <w:tcW w:w="15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对口专科</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223</w:t>
            </w:r>
          </w:p>
        </w:tc>
        <w:tc>
          <w:tcPr>
            <w:tcW w:w="848"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9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177</w:t>
            </w:r>
          </w:p>
        </w:tc>
        <w:tc>
          <w:tcPr>
            <w:tcW w:w="848"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252</w:t>
            </w:r>
          </w:p>
        </w:tc>
        <w:tc>
          <w:tcPr>
            <w:tcW w:w="849"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r>
      <w:tr>
        <w:tblPrEx>
          <w:tblCellMar>
            <w:top w:w="0" w:type="dxa"/>
            <w:left w:w="108" w:type="dxa"/>
            <w:bottom w:w="0" w:type="dxa"/>
            <w:right w:w="108" w:type="dxa"/>
          </w:tblCellMar>
        </w:tblPrEx>
        <w:trPr>
          <w:trHeight w:val="572" w:hRule="atLeast"/>
          <w:jc w:val="center"/>
        </w:trPr>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建设工程管理</w:t>
            </w:r>
          </w:p>
        </w:tc>
        <w:tc>
          <w:tcPr>
            <w:tcW w:w="15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对口专科</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923"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c>
          <w:tcPr>
            <w:tcW w:w="848"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923"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c>
          <w:tcPr>
            <w:tcW w:w="848"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170</w:t>
            </w:r>
          </w:p>
        </w:tc>
        <w:tc>
          <w:tcPr>
            <w:tcW w:w="849"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widowControl/>
              <w:jc w:val="center"/>
              <w:rPr>
                <w:rFonts w:ascii="宋体" w:hAnsi="宋体"/>
                <w:color w:val="000000"/>
                <w:kern w:val="0"/>
                <w:szCs w:val="21"/>
              </w:rPr>
            </w:pPr>
            <w:r>
              <w:rPr>
                <w:rFonts w:hint="eastAsia" w:ascii="宋体" w:hAnsi="宋体"/>
                <w:color w:val="000000"/>
                <w:kern w:val="0"/>
                <w:szCs w:val="21"/>
              </w:rPr>
              <w:t>　</w:t>
            </w:r>
          </w:p>
        </w:tc>
      </w:tr>
    </w:tbl>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tbl>
      <w:tblPr>
        <w:tblStyle w:val="5"/>
        <w:tblW w:w="9740" w:type="dxa"/>
        <w:jc w:val="center"/>
        <w:tblLayout w:type="autofit"/>
        <w:tblCellMar>
          <w:top w:w="0" w:type="dxa"/>
          <w:left w:w="108" w:type="dxa"/>
          <w:bottom w:w="0" w:type="dxa"/>
          <w:right w:w="108" w:type="dxa"/>
        </w:tblCellMar>
      </w:tblPr>
      <w:tblGrid>
        <w:gridCol w:w="1320"/>
        <w:gridCol w:w="1780"/>
        <w:gridCol w:w="1220"/>
        <w:gridCol w:w="1160"/>
        <w:gridCol w:w="1420"/>
        <w:gridCol w:w="1420"/>
        <w:gridCol w:w="1420"/>
      </w:tblGrid>
      <w:tr>
        <w:tblPrEx>
          <w:tblCellMar>
            <w:top w:w="0" w:type="dxa"/>
            <w:left w:w="108" w:type="dxa"/>
            <w:bottom w:w="0" w:type="dxa"/>
            <w:right w:w="108" w:type="dxa"/>
          </w:tblCellMar>
        </w:tblPrEx>
        <w:trPr>
          <w:trHeight w:val="540" w:hRule="atLeast"/>
          <w:jc w:val="center"/>
        </w:trPr>
        <w:tc>
          <w:tcPr>
            <w:tcW w:w="97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b/>
                <w:bCs/>
                <w:kern w:val="0"/>
                <w:sz w:val="28"/>
                <w:szCs w:val="28"/>
              </w:rPr>
            </w:pPr>
            <w:r>
              <w:rPr>
                <w:rFonts w:hint="eastAsia" w:ascii="宋体" w:hAnsi="宋体"/>
                <w:b/>
                <w:bCs/>
                <w:kern w:val="0"/>
                <w:sz w:val="28"/>
                <w:szCs w:val="28"/>
              </w:rPr>
              <w:t>艺体类专业近两年参考分数线（四川省）</w:t>
            </w:r>
          </w:p>
        </w:tc>
      </w:tr>
      <w:tr>
        <w:tblPrEx>
          <w:tblCellMar>
            <w:top w:w="0" w:type="dxa"/>
            <w:left w:w="108" w:type="dxa"/>
            <w:bottom w:w="0" w:type="dxa"/>
            <w:right w:w="108" w:type="dxa"/>
          </w:tblCellMar>
        </w:tblPrEx>
        <w:trPr>
          <w:trHeight w:val="405" w:hRule="atLeast"/>
          <w:jc w:val="center"/>
        </w:trPr>
        <w:tc>
          <w:tcPr>
            <w:tcW w:w="13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年份</w:t>
            </w: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专业</w:t>
            </w:r>
          </w:p>
        </w:tc>
        <w:tc>
          <w:tcPr>
            <w:tcW w:w="12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层次</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科类</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文化省控线</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专业省控线</w:t>
            </w:r>
          </w:p>
        </w:tc>
        <w:tc>
          <w:tcPr>
            <w:tcW w:w="14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b/>
                <w:bCs/>
                <w:color w:val="000000"/>
                <w:kern w:val="0"/>
                <w:sz w:val="22"/>
                <w:szCs w:val="22"/>
              </w:rPr>
            </w:pPr>
            <w:r>
              <w:rPr>
                <w:rFonts w:hint="eastAsia" w:ascii="宋体" w:hAnsi="宋体"/>
                <w:b/>
                <w:bCs/>
                <w:color w:val="000000"/>
                <w:kern w:val="0"/>
                <w:sz w:val="22"/>
                <w:szCs w:val="22"/>
              </w:rPr>
              <w:t>投档分数线</w:t>
            </w:r>
          </w:p>
        </w:tc>
      </w:tr>
      <w:tr>
        <w:tblPrEx>
          <w:tblCellMar>
            <w:top w:w="0" w:type="dxa"/>
            <w:left w:w="108" w:type="dxa"/>
            <w:bottom w:w="0" w:type="dxa"/>
            <w:right w:w="108" w:type="dxa"/>
          </w:tblCellMar>
        </w:tblPrEx>
        <w:trPr>
          <w:trHeight w:val="300" w:hRule="atLeast"/>
          <w:jc w:val="center"/>
        </w:trPr>
        <w:tc>
          <w:tcPr>
            <w:tcW w:w="13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2022年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广播电视编导</w:t>
            </w:r>
          </w:p>
        </w:tc>
        <w:tc>
          <w:tcPr>
            <w:tcW w:w="12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艺术本科</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艺术文</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445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470</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广播电视编导</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艺术理</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405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420</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播音与主持艺术</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不分文理</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370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214</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表演</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340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295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297</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书法学</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395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236</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绘画</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350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234</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摄影</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350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235</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数字媒体艺术</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355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233</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视觉传达设计</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355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233</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环境设计</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355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233</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休闲体育</w:t>
            </w:r>
          </w:p>
        </w:tc>
        <w:tc>
          <w:tcPr>
            <w:tcW w:w="12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体育本科</w:t>
            </w:r>
          </w:p>
        </w:tc>
        <w:tc>
          <w:tcPr>
            <w:tcW w:w="116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不分文理</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345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70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80</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运动康复</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345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70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80</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环境艺术设计</w:t>
            </w:r>
          </w:p>
        </w:tc>
        <w:tc>
          <w:tcPr>
            <w:tcW w:w="12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艺术专科</w:t>
            </w:r>
          </w:p>
        </w:tc>
        <w:tc>
          <w:tcPr>
            <w:tcW w:w="116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不分文理</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165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217</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广告艺术设计</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165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217</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动漫设计</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165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217</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播音与主持</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185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221</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音乐表演</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267</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舞蹈表演</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215</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282</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社会体育</w:t>
            </w:r>
          </w:p>
        </w:tc>
        <w:tc>
          <w:tcPr>
            <w:tcW w:w="12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体育专科</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不分文理</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60</w:t>
            </w:r>
          </w:p>
        </w:tc>
        <w:tc>
          <w:tcPr>
            <w:tcW w:w="14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74</w:t>
            </w:r>
          </w:p>
        </w:tc>
      </w:tr>
      <w:tr>
        <w:tblPrEx>
          <w:tblCellMar>
            <w:top w:w="0" w:type="dxa"/>
            <w:left w:w="108" w:type="dxa"/>
            <w:bottom w:w="0" w:type="dxa"/>
            <w:right w:w="108" w:type="dxa"/>
          </w:tblCellMar>
        </w:tblPrEx>
        <w:trPr>
          <w:trHeight w:val="300" w:hRule="atLeast"/>
          <w:jc w:val="center"/>
        </w:trPr>
        <w:tc>
          <w:tcPr>
            <w:tcW w:w="13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2021年</w:t>
            </w: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广播电视编导</w:t>
            </w:r>
          </w:p>
        </w:tc>
        <w:tc>
          <w:tcPr>
            <w:tcW w:w="12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艺术本科</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艺术文</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450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450</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广播电视编导</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艺术理</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410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412</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播音与主持艺术</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不分文理</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370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212</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表演</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340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295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295</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书法学</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400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230</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绘画</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350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234</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数字媒体艺术</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355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229</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视觉传达设计</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355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229</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环境设计</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355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229</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休闲体育</w:t>
            </w:r>
          </w:p>
        </w:tc>
        <w:tc>
          <w:tcPr>
            <w:tcW w:w="12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体育本科</w:t>
            </w:r>
          </w:p>
        </w:tc>
        <w:tc>
          <w:tcPr>
            <w:tcW w:w="116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不分文理</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345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70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78</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运动康复</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345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70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78</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环境艺术设计</w:t>
            </w:r>
          </w:p>
        </w:tc>
        <w:tc>
          <w:tcPr>
            <w:tcW w:w="122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艺术专科</w:t>
            </w:r>
          </w:p>
        </w:tc>
        <w:tc>
          <w:tcPr>
            <w:tcW w:w="116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不分文理</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165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200</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广告艺术设计</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165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201</w:t>
            </w:r>
          </w:p>
        </w:tc>
      </w:tr>
      <w:tr>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动漫设计</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165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202</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播音与主持</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185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208</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音乐表演</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200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208</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舞蹈表演</w:t>
            </w: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140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215</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221</w:t>
            </w:r>
          </w:p>
        </w:tc>
      </w:tr>
      <w:tr>
        <w:tblPrEx>
          <w:tblCellMar>
            <w:top w:w="0" w:type="dxa"/>
            <w:left w:w="108" w:type="dxa"/>
            <w:bottom w:w="0" w:type="dxa"/>
            <w:right w:w="108" w:type="dxa"/>
          </w:tblCellMar>
        </w:tblPrEx>
        <w:trPr>
          <w:trHeight w:val="300" w:hRule="atLeast"/>
          <w:jc w:val="center"/>
        </w:trPr>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olor w:val="000000"/>
                <w:kern w:val="0"/>
                <w:sz w:val="22"/>
                <w:szCs w:val="22"/>
              </w:rPr>
            </w:pPr>
          </w:p>
        </w:tc>
        <w:tc>
          <w:tcPr>
            <w:tcW w:w="17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社会体育</w:t>
            </w:r>
          </w:p>
        </w:tc>
        <w:tc>
          <w:tcPr>
            <w:tcW w:w="12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体育专科</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olor w:val="000000"/>
                <w:kern w:val="0"/>
                <w:sz w:val="22"/>
                <w:szCs w:val="22"/>
              </w:rPr>
            </w:pPr>
            <w:r>
              <w:rPr>
                <w:rFonts w:hint="eastAsia" w:ascii="宋体" w:hAnsi="宋体"/>
                <w:color w:val="000000"/>
                <w:kern w:val="0"/>
                <w:sz w:val="22"/>
                <w:szCs w:val="22"/>
              </w:rPr>
              <w:t>不分文理</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140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60</w:t>
            </w:r>
          </w:p>
        </w:tc>
        <w:tc>
          <w:tcPr>
            <w:tcW w:w="14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22"/>
                <w:szCs w:val="22"/>
              </w:rPr>
            </w:pPr>
            <w:r>
              <w:rPr>
                <w:rFonts w:hint="eastAsia" w:ascii="宋体" w:hAnsi="宋体"/>
                <w:kern w:val="0"/>
                <w:sz w:val="22"/>
                <w:szCs w:val="22"/>
              </w:rPr>
              <w:t>71</w:t>
            </w:r>
          </w:p>
        </w:tc>
      </w:tr>
    </w:tbl>
    <w:p>
      <w:pPr>
        <w:spacing w:line="360" w:lineRule="auto"/>
        <w:rPr>
          <w:rFonts w:ascii="宋体" w:hAnsi="宋体" w:cs="华文中宋"/>
          <w:b/>
          <w:bCs/>
          <w:sz w:val="18"/>
          <w:szCs w:val="18"/>
        </w:rPr>
      </w:pPr>
      <w:bookmarkStart w:id="1" w:name="_GoBack"/>
      <w:bookmarkEnd w:id="1"/>
      <w:r>
        <w:rPr>
          <w:rFonts w:hint="eastAsia" w:ascii="宋体" w:hAnsi="宋体" w:cs="华文中宋"/>
          <w:b/>
          <w:bCs/>
          <w:sz w:val="28"/>
          <w:szCs w:val="28"/>
        </w:rPr>
        <w:t>附件3:</w:t>
      </w:r>
      <w:r>
        <w:rPr>
          <w:rFonts w:ascii="宋体" w:hAnsi="宋体" w:cs="华文中宋"/>
          <w:b/>
          <w:bCs/>
          <w:sz w:val="28"/>
          <w:szCs w:val="28"/>
        </w:rPr>
        <w:t xml:space="preserve">  2023</w:t>
      </w:r>
      <w:r>
        <w:rPr>
          <w:rFonts w:hint="eastAsia" w:ascii="宋体" w:hAnsi="宋体" w:cs="华文中宋"/>
          <w:b/>
          <w:bCs/>
          <w:sz w:val="28"/>
          <w:szCs w:val="28"/>
        </w:rPr>
        <w:t>年分省分专业招生计划</w:t>
      </w:r>
      <w:r>
        <w:rPr>
          <w:rFonts w:hint="eastAsia" w:ascii="宋体" w:hAnsi="宋体" w:cs="华文中宋"/>
          <w:b/>
          <w:bCs/>
          <w:sz w:val="18"/>
          <w:szCs w:val="18"/>
        </w:rPr>
        <w:t>（招生代码、计划数等信息以当地招生考试主管部门发布为准）</w:t>
      </w:r>
    </w:p>
    <w:p>
      <w:pPr>
        <w:spacing w:line="360" w:lineRule="auto"/>
        <w:rPr>
          <w:rFonts w:ascii="宋体" w:hAnsi="宋体" w:cs="华文中宋"/>
          <w:b/>
          <w:bCs/>
          <w:sz w:val="28"/>
          <w:szCs w:val="28"/>
        </w:rPr>
      </w:pPr>
      <w:r>
        <w:rPr>
          <w:rFonts w:ascii="宋体" w:hAnsi="宋体" w:cs="华文中宋"/>
          <w:b/>
          <w:bCs/>
          <w:sz w:val="28"/>
          <w:szCs w:val="28"/>
        </w:rPr>
        <w:drawing>
          <wp:inline distT="0" distB="0" distL="0" distR="0">
            <wp:extent cx="5036185" cy="7997190"/>
            <wp:effectExtent l="0" t="0" r="0" b="3810"/>
            <wp:docPr id="163327974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79747"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40996" cy="8005145"/>
                    </a:xfrm>
                    <a:prstGeom prst="rect">
                      <a:avLst/>
                    </a:prstGeom>
                    <a:noFill/>
                    <a:ln>
                      <a:noFill/>
                    </a:ln>
                  </pic:spPr>
                </pic:pic>
              </a:graphicData>
            </a:graphic>
          </wp:inline>
        </w:drawing>
      </w:r>
    </w:p>
    <w:p>
      <w:pPr>
        <w:spacing w:line="360" w:lineRule="auto"/>
        <w:rPr>
          <w:rFonts w:ascii="宋体" w:hAnsi="宋体" w:cs="华文中宋"/>
          <w:b/>
          <w:bCs/>
          <w:sz w:val="28"/>
          <w:szCs w:val="28"/>
        </w:rPr>
      </w:pPr>
      <w:r>
        <w:rPr>
          <w:rFonts w:ascii="宋体" w:hAnsi="宋体" w:cs="华文中宋"/>
          <w:b/>
          <w:bCs/>
          <w:sz w:val="28"/>
          <w:szCs w:val="28"/>
        </w:rPr>
        <w:drawing>
          <wp:anchor distT="0" distB="0" distL="114300" distR="114300" simplePos="0" relativeHeight="251665408" behindDoc="0" locked="0" layoutInCell="1" allowOverlap="1">
            <wp:simplePos x="0" y="0"/>
            <wp:positionH relativeFrom="column">
              <wp:posOffset>-47625</wp:posOffset>
            </wp:positionH>
            <wp:positionV relativeFrom="paragraph">
              <wp:posOffset>-95250</wp:posOffset>
            </wp:positionV>
            <wp:extent cx="5010150" cy="9555480"/>
            <wp:effectExtent l="0" t="0" r="0" b="7620"/>
            <wp:wrapNone/>
            <wp:docPr id="203490386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03866"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10150" cy="9555648"/>
                    </a:xfrm>
                    <a:prstGeom prst="rect">
                      <a:avLst/>
                    </a:prstGeom>
                    <a:noFill/>
                    <a:ln>
                      <a:noFill/>
                    </a:ln>
                  </pic:spPr>
                </pic:pic>
              </a:graphicData>
            </a:graphic>
          </wp:anchor>
        </w:drawing>
      </w: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r>
        <w:rPr>
          <w:rFonts w:ascii="宋体" w:hAnsi="宋体" w:cs="华文中宋"/>
          <w:b/>
          <w:bCs/>
          <w:sz w:val="28"/>
          <w:szCs w:val="28"/>
        </w:rPr>
        <w:drawing>
          <wp:anchor distT="0" distB="0" distL="114300" distR="114300" simplePos="0" relativeHeight="251666432" behindDoc="0" locked="0" layoutInCell="1" allowOverlap="1">
            <wp:simplePos x="0" y="0"/>
            <wp:positionH relativeFrom="column">
              <wp:posOffset>-352425</wp:posOffset>
            </wp:positionH>
            <wp:positionV relativeFrom="paragraph">
              <wp:posOffset>-638175</wp:posOffset>
            </wp:positionV>
            <wp:extent cx="5391150" cy="10145395"/>
            <wp:effectExtent l="0" t="0" r="0" b="8255"/>
            <wp:wrapNone/>
            <wp:docPr id="20236003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0033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97325" cy="10157188"/>
                    </a:xfrm>
                    <a:prstGeom prst="rect">
                      <a:avLst/>
                    </a:prstGeom>
                    <a:noFill/>
                    <a:ln>
                      <a:noFill/>
                    </a:ln>
                  </pic:spPr>
                </pic:pic>
              </a:graphicData>
            </a:graphic>
          </wp:anchor>
        </w:drawing>
      </w: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r>
        <w:rPr>
          <w:rFonts w:ascii="宋体" w:hAnsi="宋体" w:cs="华文中宋"/>
          <w:b/>
          <w:bCs/>
          <w:sz w:val="28"/>
          <w:szCs w:val="28"/>
        </w:rPr>
        <w:drawing>
          <wp:inline distT="0" distB="0" distL="0" distR="0">
            <wp:extent cx="5274310" cy="8290560"/>
            <wp:effectExtent l="0" t="0" r="2540" b="0"/>
            <wp:docPr id="80521426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14268"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8290560"/>
                    </a:xfrm>
                    <a:prstGeom prst="rect">
                      <a:avLst/>
                    </a:prstGeom>
                    <a:noFill/>
                    <a:ln>
                      <a:noFill/>
                    </a:ln>
                  </pic:spPr>
                </pic:pic>
              </a:graphicData>
            </a:graphic>
          </wp:inline>
        </w:drawing>
      </w: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r>
        <w:rPr>
          <w:rFonts w:ascii="宋体" w:hAnsi="宋体" w:cs="华文中宋"/>
          <w:b/>
          <w:bCs/>
          <w:sz w:val="28"/>
          <w:szCs w:val="28"/>
        </w:rPr>
        <w:drawing>
          <wp:anchor distT="0" distB="0" distL="114300" distR="114300" simplePos="0" relativeHeight="251667456" behindDoc="0" locked="0" layoutInCell="1" allowOverlap="1">
            <wp:simplePos x="0" y="0"/>
            <wp:positionH relativeFrom="column">
              <wp:posOffset>-276225</wp:posOffset>
            </wp:positionH>
            <wp:positionV relativeFrom="paragraph">
              <wp:posOffset>-495300</wp:posOffset>
            </wp:positionV>
            <wp:extent cx="5162550" cy="9846945"/>
            <wp:effectExtent l="0" t="0" r="0" b="2540"/>
            <wp:wrapNone/>
            <wp:docPr id="14289425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42511"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69713" cy="9860462"/>
                    </a:xfrm>
                    <a:prstGeom prst="rect">
                      <a:avLst/>
                    </a:prstGeom>
                    <a:noFill/>
                    <a:ln>
                      <a:noFill/>
                    </a:ln>
                  </pic:spPr>
                </pic:pic>
              </a:graphicData>
            </a:graphic>
          </wp:anchor>
        </w:drawing>
      </w: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r>
        <w:rPr>
          <w:rFonts w:ascii="宋体" w:hAnsi="宋体" w:cs="华文中宋"/>
          <w:b/>
          <w:bCs/>
          <w:sz w:val="28"/>
          <w:szCs w:val="28"/>
        </w:rPr>
        <w:drawing>
          <wp:anchor distT="0" distB="0" distL="114300" distR="114300" simplePos="0" relativeHeight="251668480" behindDoc="0" locked="0" layoutInCell="1" allowOverlap="1">
            <wp:simplePos x="0" y="0"/>
            <wp:positionH relativeFrom="column">
              <wp:posOffset>0</wp:posOffset>
            </wp:positionH>
            <wp:positionV relativeFrom="paragraph">
              <wp:posOffset>-381635</wp:posOffset>
            </wp:positionV>
            <wp:extent cx="5237480" cy="9401175"/>
            <wp:effectExtent l="0" t="0" r="1905" b="0"/>
            <wp:wrapNone/>
            <wp:docPr id="12930879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87922" name="图片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37393" cy="9401175"/>
                    </a:xfrm>
                    <a:prstGeom prst="rect">
                      <a:avLst/>
                    </a:prstGeom>
                    <a:noFill/>
                    <a:ln>
                      <a:noFill/>
                    </a:ln>
                  </pic:spPr>
                </pic:pic>
              </a:graphicData>
            </a:graphic>
          </wp:anchor>
        </w:drawing>
      </w: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r>
        <w:rPr>
          <w:rFonts w:hint="eastAsia" w:ascii="宋体" w:hAnsi="宋体" w:cs="华文中宋"/>
          <w:b/>
          <w:bCs/>
          <w:sz w:val="28"/>
          <w:szCs w:val="28"/>
        </w:rPr>
        <w:t>附件4： 四川省各招生专业代号（以志愿填报系统为准）</w:t>
      </w:r>
    </w:p>
    <w:p>
      <w:pPr>
        <w:spacing w:line="360" w:lineRule="auto"/>
        <w:rPr>
          <w:rFonts w:ascii="宋体" w:hAnsi="宋体" w:cs="华文中宋"/>
          <w:b/>
          <w:bCs/>
          <w:sz w:val="28"/>
          <w:szCs w:val="28"/>
        </w:rPr>
      </w:pPr>
      <w:r>
        <w:rPr>
          <w:rFonts w:ascii="宋体" w:hAnsi="宋体" w:cs="华文中宋"/>
          <w:b/>
          <w:bCs/>
          <w:sz w:val="28"/>
          <w:szCs w:val="28"/>
        </w:rPr>
        <w:drawing>
          <wp:inline distT="0" distB="0" distL="0" distR="0">
            <wp:extent cx="5248275" cy="6581775"/>
            <wp:effectExtent l="0" t="0" r="9525" b="9525"/>
            <wp:docPr id="397259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5930"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48275" cy="6581775"/>
                    </a:xfrm>
                    <a:prstGeom prst="rect">
                      <a:avLst/>
                    </a:prstGeom>
                    <a:noFill/>
                    <a:ln>
                      <a:noFill/>
                    </a:ln>
                  </pic:spPr>
                </pic:pic>
              </a:graphicData>
            </a:graphic>
          </wp:inline>
        </w:drawing>
      </w:r>
    </w:p>
    <w:p>
      <w:pPr>
        <w:spacing w:line="360" w:lineRule="auto"/>
        <w:rPr>
          <w:rFonts w:ascii="宋体" w:hAnsi="宋体" w:cs="华文中宋"/>
          <w:b/>
          <w:bCs/>
          <w:sz w:val="28"/>
          <w:szCs w:val="28"/>
        </w:rPr>
      </w:pPr>
      <w:r>
        <w:rPr>
          <w:rFonts w:ascii="宋体" w:hAnsi="宋体" w:cs="华文中宋"/>
          <w:b/>
          <w:bCs/>
          <w:sz w:val="28"/>
          <w:szCs w:val="28"/>
        </w:rPr>
        <w:drawing>
          <wp:inline distT="0" distB="0" distL="0" distR="0">
            <wp:extent cx="5229225" cy="7077075"/>
            <wp:effectExtent l="0" t="0" r="9525" b="9525"/>
            <wp:docPr id="8682078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0783"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29225" cy="7077075"/>
                    </a:xfrm>
                    <a:prstGeom prst="rect">
                      <a:avLst/>
                    </a:prstGeom>
                    <a:noFill/>
                    <a:ln>
                      <a:noFill/>
                    </a:ln>
                  </pic:spPr>
                </pic:pic>
              </a:graphicData>
            </a:graphic>
          </wp:inline>
        </w:drawing>
      </w: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p>
      <w:pPr>
        <w:spacing w:line="360" w:lineRule="auto"/>
        <w:rPr>
          <w:rFonts w:ascii="宋体" w:hAnsi="宋体" w:cs="华文中宋"/>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兰米大黑">
    <w:altName w:val="黑体"/>
    <w:panose1 w:val="00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sans-serif">
    <w:altName w:val="Calibr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AC0BD"/>
    <w:multiLevelType w:val="singleLevel"/>
    <w:tmpl w:val="401AC0BD"/>
    <w:lvl w:ilvl="0" w:tentative="0">
      <w:start w:val="1"/>
      <w:numFmt w:val="decimal"/>
      <w:suff w:val="nothing"/>
      <w:lvlText w:val="(%1）"/>
      <w:lvlJc w:val="left"/>
    </w:lvl>
  </w:abstractNum>
  <w:abstractNum w:abstractNumId="1">
    <w:nsid w:val="6A3E2D03"/>
    <w:multiLevelType w:val="singleLevel"/>
    <w:tmpl w:val="6A3E2D0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yNzNkYzJkYTIxODMzMzY3ZmNkM2VkMWQ0OTFjNDQifQ=="/>
  </w:docVars>
  <w:rsids>
    <w:rsidRoot w:val="003B6267"/>
    <w:rsid w:val="001018B7"/>
    <w:rsid w:val="001044C2"/>
    <w:rsid w:val="0029692D"/>
    <w:rsid w:val="002B1D14"/>
    <w:rsid w:val="003B6267"/>
    <w:rsid w:val="00406128"/>
    <w:rsid w:val="00432F41"/>
    <w:rsid w:val="006725DE"/>
    <w:rsid w:val="006A2AA5"/>
    <w:rsid w:val="00B0027F"/>
    <w:rsid w:val="00BB3097"/>
    <w:rsid w:val="00BE4A73"/>
    <w:rsid w:val="00CD5390"/>
    <w:rsid w:val="00D46A01"/>
    <w:rsid w:val="00E96A69"/>
    <w:rsid w:val="016B2F09"/>
    <w:rsid w:val="1DAD013B"/>
    <w:rsid w:val="2ED23F85"/>
    <w:rsid w:val="2F226E1D"/>
    <w:rsid w:val="3D493DEE"/>
    <w:rsid w:val="4EA8600B"/>
    <w:rsid w:val="4EC62DEC"/>
    <w:rsid w:val="592F2F08"/>
    <w:rsid w:val="74CE2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center"/>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nhideWhenUsed/>
    <w:qFormat/>
    <w:uiPriority w:val="99"/>
    <w:rPr>
      <w:color w:val="954F72"/>
      <w:u w:val="single"/>
    </w:rPr>
  </w:style>
  <w:style w:type="character" w:styleId="9">
    <w:name w:val="Hyperlink"/>
    <w:basedOn w:val="7"/>
    <w:unhideWhenUsed/>
    <w:qFormat/>
    <w:uiPriority w:val="99"/>
    <w:rPr>
      <w:color w:val="0563C1"/>
      <w:u w:val="single"/>
    </w:rPr>
  </w:style>
  <w:style w:type="paragraph" w:customStyle="1" w:styleId="10">
    <w:name w:val="msonormal"/>
    <w:basedOn w:val="1"/>
    <w:qFormat/>
    <w:uiPriority w:val="0"/>
    <w:pPr>
      <w:widowControl/>
      <w:spacing w:before="100" w:beforeAutospacing="1" w:after="100" w:afterAutospacing="1"/>
      <w:jc w:val="left"/>
    </w:pPr>
    <w:rPr>
      <w:rFonts w:ascii="宋体" w:hAnsi="宋体"/>
      <w:kern w:val="0"/>
      <w:sz w:val="24"/>
    </w:rPr>
  </w:style>
  <w:style w:type="paragraph" w:customStyle="1" w:styleId="11">
    <w:name w:val="font5"/>
    <w:basedOn w:val="1"/>
    <w:qFormat/>
    <w:uiPriority w:val="0"/>
    <w:pPr>
      <w:widowControl/>
      <w:spacing w:before="100" w:beforeAutospacing="1" w:after="100" w:afterAutospacing="1"/>
      <w:jc w:val="left"/>
    </w:pPr>
    <w:rPr>
      <w:rFonts w:ascii="等线" w:hAnsi="等线" w:eastAsia="等线"/>
      <w:kern w:val="0"/>
      <w:sz w:val="18"/>
      <w:szCs w:val="18"/>
    </w:rPr>
  </w:style>
  <w:style w:type="paragraph" w:customStyle="1" w:styleId="12">
    <w:name w:val="font6"/>
    <w:basedOn w:val="1"/>
    <w:qFormat/>
    <w:uiPriority w:val="0"/>
    <w:pPr>
      <w:widowControl/>
      <w:spacing w:before="100" w:beforeAutospacing="1" w:after="100" w:afterAutospacing="1"/>
      <w:jc w:val="left"/>
    </w:pPr>
    <w:rPr>
      <w:rFonts w:ascii="等线" w:hAnsi="等线" w:eastAsia="等线"/>
      <w:kern w:val="0"/>
      <w:sz w:val="18"/>
      <w:szCs w:val="18"/>
    </w:rPr>
  </w:style>
  <w:style w:type="paragraph" w:customStyle="1" w:styleId="13">
    <w:name w:val="xl63"/>
    <w:basedOn w:val="1"/>
    <w:qFormat/>
    <w:uiPriority w:val="0"/>
    <w:pPr>
      <w:widowControl/>
      <w:spacing w:before="100" w:beforeAutospacing="1" w:after="100" w:afterAutospacing="1"/>
      <w:jc w:val="left"/>
    </w:pPr>
    <w:rPr>
      <w:rFonts w:ascii="宋体" w:hAnsi="宋体"/>
      <w:kern w:val="0"/>
      <w:sz w:val="24"/>
    </w:rPr>
  </w:style>
  <w:style w:type="paragraph" w:customStyle="1" w:styleId="14">
    <w:name w:val="xl64"/>
    <w:basedOn w:val="1"/>
    <w:qFormat/>
    <w:uiPriority w:val="0"/>
    <w:pPr>
      <w:widowControl/>
      <w:pBdr>
        <w:top w:val="single" w:color="auto" w:sz="8" w:space="0"/>
        <w:left w:val="single" w:color="auto" w:sz="8" w:space="0"/>
        <w:bottom w:val="single" w:color="auto" w:sz="8" w:space="0"/>
        <w:right w:val="single" w:color="auto" w:sz="8" w:space="0"/>
      </w:pBdr>
      <w:shd w:val="clear" w:color="000000" w:fill="DDEBF7"/>
      <w:spacing w:before="100" w:beforeAutospacing="1" w:after="100" w:afterAutospacing="1"/>
      <w:jc w:val="center"/>
    </w:pPr>
    <w:rPr>
      <w:rFonts w:ascii="宋体" w:hAnsi="宋体"/>
      <w:b/>
      <w:bCs/>
      <w:kern w:val="0"/>
      <w:sz w:val="24"/>
    </w:rPr>
  </w:style>
  <w:style w:type="paragraph" w:customStyle="1" w:styleId="15">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kern w:val="0"/>
      <w:sz w:val="24"/>
    </w:rPr>
  </w:style>
  <w:style w:type="paragraph" w:customStyle="1" w:styleId="16">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kern w:val="0"/>
      <w:sz w:val="24"/>
    </w:rPr>
  </w:style>
  <w:style w:type="paragraph" w:customStyle="1" w:styleId="17">
    <w:name w:val="xl6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bottom"/>
    </w:pPr>
    <w:rPr>
      <w:rFonts w:ascii="宋体" w:hAnsi="宋体"/>
      <w:kern w:val="0"/>
      <w:sz w:val="24"/>
    </w:rPr>
  </w:style>
  <w:style w:type="paragraph" w:customStyle="1" w:styleId="18">
    <w:name w:val="xl6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kern w:val="0"/>
      <w:sz w:val="24"/>
    </w:rPr>
  </w:style>
  <w:style w:type="paragraph" w:customStyle="1" w:styleId="19">
    <w:name w:val="xl69"/>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kern w:val="0"/>
      <w:sz w:val="24"/>
    </w:rPr>
  </w:style>
  <w:style w:type="paragraph" w:customStyle="1" w:styleId="20">
    <w:name w:val="xl70"/>
    <w:basedOn w:val="1"/>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kern w:val="0"/>
      <w:sz w:val="24"/>
    </w:rPr>
  </w:style>
  <w:style w:type="paragraph" w:customStyle="1" w:styleId="21">
    <w:name w:val="xl71"/>
    <w:basedOn w:val="1"/>
    <w:qFormat/>
    <w:uiPriority w:val="0"/>
    <w:pPr>
      <w:widowControl/>
      <w:pBdr>
        <w:top w:val="single" w:color="auto" w:sz="8" w:space="0"/>
        <w:left w:val="single" w:color="auto" w:sz="8" w:space="0"/>
        <w:bottom w:val="single" w:color="auto" w:sz="8" w:space="0"/>
        <w:right w:val="single" w:color="auto" w:sz="8" w:space="0"/>
      </w:pBdr>
      <w:shd w:val="clear" w:color="000000" w:fill="DDEBF7"/>
      <w:spacing w:before="100" w:beforeAutospacing="1" w:after="100" w:afterAutospacing="1"/>
      <w:jc w:val="center"/>
    </w:pPr>
    <w:rPr>
      <w:rFonts w:ascii="宋体" w:hAnsi="宋体"/>
      <w:b/>
      <w:bCs/>
      <w:kern w:val="0"/>
      <w:sz w:val="24"/>
    </w:rPr>
  </w:style>
  <w:style w:type="paragraph" w:customStyle="1" w:styleId="22">
    <w:name w:val="xl72"/>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4368</Words>
  <Characters>5090</Characters>
  <Lines>41</Lines>
  <Paragraphs>11</Paragraphs>
  <TotalTime>4</TotalTime>
  <ScaleCrop>false</ScaleCrop>
  <LinksUpToDate>false</LinksUpToDate>
  <CharactersWithSpaces>5124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2022-06-20T04:43:00Z</dcterms:created>
  <dc:creator>admin</dc:creator>
  <cp:lastModifiedBy>许夏</cp:lastModifiedBy>
  <dcterms:modified xsi:type="dcterms:W3CDTF">2023-06-23T11:49:17Z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5B1383E7B28A4F85B628A8ACA4D2E70F_13</vt:lpwstr>
  </property>
</Properties>
</file>