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0E" w:rsidRDefault="009221B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招生办公室改造的优化建议</w:t>
      </w:r>
    </w:p>
    <w:p w:rsidR="00034C0E" w:rsidRDefault="00034C0E"/>
    <w:p w:rsidR="00034C0E" w:rsidRDefault="009221B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一、整体定位与风格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定位：全球化、高端化、个性化，打造一个充满活力与国际化氛围的</w:t>
      </w:r>
      <w:r>
        <w:rPr>
          <w:rFonts w:ascii="仿宋" w:eastAsia="仿宋" w:hAnsi="仿宋" w:cs="仿宋" w:hint="eastAsia"/>
          <w:sz w:val="28"/>
          <w:szCs w:val="28"/>
        </w:rPr>
        <w:t>普通本专科及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本专硕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直通</w:t>
      </w:r>
      <w:r>
        <w:rPr>
          <w:rFonts w:ascii="仿宋" w:eastAsia="仿宋" w:hAnsi="仿宋" w:cs="仿宋" w:hint="eastAsia"/>
          <w:sz w:val="28"/>
          <w:szCs w:val="28"/>
        </w:rPr>
        <w:t>招生办公室。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色调：采用明亮、阳光的色调，如浅蓝色、米白色、淡黄色等，营造出积极向上的氛围，同时搭配一些木质元素，增添温馨感。</w:t>
      </w:r>
      <w:r>
        <w:rPr>
          <w:rFonts w:ascii="仿宋" w:eastAsia="仿宋" w:hAnsi="仿宋" w:cs="仿宋" w:hint="eastAsia"/>
          <w:sz w:val="28"/>
          <w:szCs w:val="28"/>
        </w:rPr>
        <w:t>吊顶等方面都</w:t>
      </w:r>
      <w:r>
        <w:rPr>
          <w:rFonts w:ascii="仿宋" w:eastAsia="仿宋" w:hAnsi="仿宋" w:cs="仿宋" w:hint="eastAsia"/>
          <w:sz w:val="28"/>
          <w:szCs w:val="28"/>
        </w:rPr>
        <w:t>建议更阳光活力</w:t>
      </w:r>
      <w:r>
        <w:rPr>
          <w:rFonts w:ascii="仿宋" w:eastAsia="仿宋" w:hAnsi="仿宋" w:cs="仿宋" w:hint="eastAsia"/>
          <w:sz w:val="28"/>
          <w:szCs w:val="28"/>
        </w:rPr>
        <w:t>有国际氛围</w:t>
      </w:r>
      <w:r>
        <w:rPr>
          <w:rFonts w:ascii="仿宋" w:eastAsia="仿宋" w:hAnsi="仿宋" w:cs="仿宋" w:hint="eastAsia"/>
          <w:sz w:val="28"/>
          <w:szCs w:val="28"/>
        </w:rPr>
        <w:t>一些。</w:t>
      </w:r>
    </w:p>
    <w:p w:rsidR="00034C0E" w:rsidRDefault="009221B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二、空间布局与动线规划</w:t>
      </w:r>
    </w:p>
    <w:p w:rsidR="0093315F" w:rsidRDefault="009221BC">
      <w:pPr>
        <w:ind w:firstLine="42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南门（主要入口）设计</w:t>
      </w: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Pr="0093315F">
        <w:rPr>
          <w:rFonts w:ascii="仿宋" w:eastAsia="仿宋" w:hAnsi="仿宋" w:cs="仿宋" w:hint="eastAsia"/>
          <w:b/>
          <w:sz w:val="28"/>
          <w:szCs w:val="28"/>
        </w:rPr>
        <w:t>建议做</w:t>
      </w:r>
      <w:r w:rsidRPr="0093315F">
        <w:rPr>
          <w:rFonts w:ascii="仿宋" w:eastAsia="仿宋" w:hAnsi="仿宋" w:cs="仿宋" w:hint="eastAsia"/>
          <w:b/>
          <w:sz w:val="28"/>
          <w:szCs w:val="28"/>
        </w:rPr>
        <w:t>2</w:t>
      </w:r>
      <w:r w:rsidRPr="0093315F">
        <w:rPr>
          <w:rFonts w:ascii="仿宋" w:eastAsia="仿宋" w:hAnsi="仿宋" w:cs="仿宋" w:hint="eastAsia"/>
          <w:b/>
          <w:sz w:val="28"/>
          <w:szCs w:val="28"/>
        </w:rPr>
        <w:t>版设计，</w:t>
      </w:r>
      <w:r w:rsidRPr="0093315F">
        <w:rPr>
          <w:rFonts w:ascii="仿宋" w:eastAsia="仿宋" w:hAnsi="仿宋" w:cs="仿宋" w:hint="eastAsia"/>
          <w:b/>
          <w:sz w:val="28"/>
          <w:szCs w:val="28"/>
        </w:rPr>
        <w:t>1</w:t>
      </w:r>
      <w:r w:rsidRPr="0093315F">
        <w:rPr>
          <w:rFonts w:ascii="仿宋" w:eastAsia="仿宋" w:hAnsi="仿宋" w:cs="仿宋" w:hint="eastAsia"/>
          <w:b/>
          <w:sz w:val="28"/>
          <w:szCs w:val="28"/>
        </w:rPr>
        <w:t>版是以南门为主入口、北门为次入口；</w:t>
      </w:r>
      <w:r w:rsidRPr="0093315F">
        <w:rPr>
          <w:rFonts w:ascii="仿宋" w:eastAsia="仿宋" w:hAnsi="仿宋" w:cs="仿宋" w:hint="eastAsia"/>
          <w:b/>
          <w:sz w:val="28"/>
          <w:szCs w:val="28"/>
        </w:rPr>
        <w:t>1</w:t>
      </w:r>
      <w:r w:rsidRPr="0093315F">
        <w:rPr>
          <w:rFonts w:ascii="仿宋" w:eastAsia="仿宋" w:hAnsi="仿宋" w:cs="仿宋" w:hint="eastAsia"/>
          <w:b/>
          <w:sz w:val="28"/>
          <w:szCs w:val="28"/>
        </w:rPr>
        <w:t>版是以北门为主入口，南门为次入口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形象墙：在南门入口处设置大型形象墙，展示学校的标志、校训和国际化愿景。形象墙可以采用</w:t>
      </w:r>
      <w:r>
        <w:rPr>
          <w:rFonts w:ascii="仿宋" w:eastAsia="仿宋" w:hAnsi="仿宋" w:cs="仿宋" w:hint="eastAsia"/>
          <w:sz w:val="28"/>
          <w:szCs w:val="28"/>
        </w:rPr>
        <w:t>LED</w:t>
      </w:r>
      <w:r>
        <w:rPr>
          <w:rFonts w:ascii="仿宋" w:eastAsia="仿宋" w:hAnsi="仿宋" w:cs="仿宋" w:hint="eastAsia"/>
          <w:sz w:val="28"/>
          <w:szCs w:val="28"/>
        </w:rPr>
        <w:t>屏幕或高清打印画面，结合灯光效果，营造出高端大气的氛围。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标识设计：在南门上方或两侧设置醒目的学校标志和招生办公室标识，确保访客能够快速识别。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接待台：在南门入口处设置大型接待台，接待台采用</w:t>
      </w:r>
      <w:r>
        <w:rPr>
          <w:rFonts w:ascii="仿宋" w:eastAsia="仿宋" w:hAnsi="仿宋" w:cs="仿宋" w:hint="eastAsia"/>
          <w:sz w:val="28"/>
          <w:szCs w:val="28"/>
        </w:rPr>
        <w:t>L</w:t>
      </w:r>
      <w:r>
        <w:rPr>
          <w:rFonts w:ascii="仿宋" w:eastAsia="仿宋" w:hAnsi="仿宋" w:cs="仿宋" w:hint="eastAsia"/>
          <w:sz w:val="28"/>
          <w:szCs w:val="28"/>
        </w:rPr>
        <w:t>型或</w:t>
      </w:r>
      <w:r>
        <w:rPr>
          <w:rFonts w:ascii="仿宋" w:eastAsia="仿宋" w:hAnsi="仿宋" w:cs="仿宋" w:hint="eastAsia"/>
          <w:sz w:val="28"/>
          <w:szCs w:val="28"/>
        </w:rPr>
        <w:t>U</w:t>
      </w:r>
      <w:r>
        <w:rPr>
          <w:rFonts w:ascii="仿宋" w:eastAsia="仿宋" w:hAnsi="仿宋" w:cs="仿宋" w:hint="eastAsia"/>
          <w:sz w:val="28"/>
          <w:szCs w:val="28"/>
        </w:rPr>
        <w:t>型设计，方便接待人员与访客交流。接待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台背景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墙可以设计成学校的形象墙，展示学校的标志、校训和国际化愿景。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休息区：在接待台附近设置小型休息区，配备舒适的座椅和茶几，供访客等待时使用。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信息展示屏：在南门入口处设置电子展示屏，循</w:t>
      </w:r>
      <w:r>
        <w:rPr>
          <w:rFonts w:ascii="仿宋" w:eastAsia="仿宋" w:hAnsi="仿宋" w:cs="仿宋" w:hint="eastAsia"/>
          <w:sz w:val="28"/>
          <w:szCs w:val="28"/>
        </w:rPr>
        <w:t>环播放学校的国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际化项目、招生信息、优秀学生案例等内容，为访客提供直观的了解。</w:t>
      </w: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北门（次要入口）设计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信息展示牌：在北门入口处设置信息展示牌，简要介绍招生办公室的布局和主要功能区域，引导访客前往南门或其他区域。</w:t>
      </w: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小型展示柜：在北门入口处设置小型展示柜，展示一些学校的宣传资料、国际活动照片等，增加北门的展示功能。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东门（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办公入口、邮政寄送、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库品出入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在设计上，可以将与南、北两门统一风格，确保整体的协调性。布局合理，避免门与门之间形成对冲等不利情况。</w:t>
      </w: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动线安排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 </w:t>
      </w:r>
      <w:r>
        <w:rPr>
          <w:rFonts w:ascii="仿宋" w:eastAsia="仿宋" w:hAnsi="仿宋" w:cs="仿宋" w:hint="eastAsia"/>
          <w:sz w:val="28"/>
          <w:szCs w:val="28"/>
        </w:rPr>
        <w:t>形象墙：在入口处设置大型形象墙，展示学校的标志、校训以及学校的国际化愿景，给访客留下深刻的第一印象。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 </w:t>
      </w:r>
      <w:r>
        <w:rPr>
          <w:rFonts w:ascii="仿宋" w:eastAsia="仿宋" w:hAnsi="仿宋" w:cs="仿宋" w:hint="eastAsia"/>
          <w:sz w:val="28"/>
          <w:szCs w:val="28"/>
        </w:rPr>
        <w:t>国际化项目展示：通过电子屏或展示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柜展示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与合作院校的项目、交流活动等，突出学校的国际化特色。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 </w:t>
      </w:r>
      <w:r>
        <w:rPr>
          <w:rFonts w:ascii="仿宋" w:eastAsia="仿宋" w:hAnsi="仿宋" w:cs="仿宋" w:hint="eastAsia"/>
          <w:sz w:val="28"/>
          <w:szCs w:val="28"/>
        </w:rPr>
        <w:t>录取</w:t>
      </w:r>
      <w:r>
        <w:rPr>
          <w:rFonts w:ascii="仿宋" w:eastAsia="仿宋" w:hAnsi="仿宋" w:cs="仿宋" w:hint="eastAsia"/>
          <w:sz w:val="28"/>
          <w:szCs w:val="28"/>
        </w:rPr>
        <w:t>offer</w:t>
      </w:r>
      <w:r>
        <w:rPr>
          <w:rFonts w:ascii="仿宋" w:eastAsia="仿宋" w:hAnsi="仿宋" w:cs="仿宋" w:hint="eastAsia"/>
          <w:sz w:val="28"/>
          <w:szCs w:val="28"/>
        </w:rPr>
        <w:t>展示：设置专门的展示区，展示历年录取的优秀</w:t>
      </w:r>
      <w:r>
        <w:rPr>
          <w:rFonts w:ascii="仿宋" w:eastAsia="仿宋" w:hAnsi="仿宋" w:cs="仿宋" w:hint="eastAsia"/>
          <w:sz w:val="28"/>
          <w:szCs w:val="28"/>
        </w:rPr>
        <w:t>offer</w:t>
      </w:r>
      <w:r>
        <w:rPr>
          <w:rFonts w:ascii="仿宋" w:eastAsia="仿宋" w:hAnsi="仿宋" w:cs="仿宋" w:hint="eastAsia"/>
          <w:sz w:val="28"/>
          <w:szCs w:val="28"/>
        </w:rPr>
        <w:t>，激励学生努力申请。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 </w:t>
      </w:r>
      <w:r>
        <w:rPr>
          <w:rFonts w:ascii="仿宋" w:eastAsia="仿宋" w:hAnsi="仿宋" w:cs="仿宋" w:hint="eastAsia"/>
          <w:sz w:val="28"/>
          <w:szCs w:val="28"/>
        </w:rPr>
        <w:t>荣誉墙：展示学校在国际教育领域的荣誉和成就，提升学校的声誉和吸引力。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 </w:t>
      </w:r>
      <w:r>
        <w:rPr>
          <w:rFonts w:ascii="仿宋" w:eastAsia="仿宋" w:hAnsi="仿宋" w:cs="仿宋" w:hint="eastAsia"/>
          <w:sz w:val="28"/>
          <w:szCs w:val="28"/>
        </w:rPr>
        <w:t>优秀学生案例展示（含国际校友展示）：通过照片、文字介绍等方式展示优秀在校学生和国际校友的成就和故事，让访客感受到学校的优秀传统和良好氛围。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 </w:t>
      </w:r>
      <w:r>
        <w:rPr>
          <w:rFonts w:ascii="仿宋" w:eastAsia="仿宋" w:hAnsi="仿宋" w:cs="仿宋" w:hint="eastAsia"/>
          <w:sz w:val="28"/>
          <w:szCs w:val="28"/>
        </w:rPr>
        <w:t>国际活动展示：展示学校举办的各类国际活动，如文化交流活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动、国际学术会议等，体现学校的国际影响力。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7 </w:t>
      </w:r>
      <w:r>
        <w:rPr>
          <w:rFonts w:ascii="仿宋" w:eastAsia="仿宋" w:hAnsi="仿宋" w:cs="仿宋" w:hint="eastAsia"/>
          <w:sz w:val="28"/>
          <w:szCs w:val="28"/>
        </w:rPr>
        <w:t>茶水洽谈区：在动线的末端设置茶水洽谈区，为访客提供一个舒适的休息和交流空间。洽谈区的布置可以采用温馨的风格，配备舒适的沙发和茶几，同时提供茶水和小点心。</w:t>
      </w:r>
    </w:p>
    <w:p w:rsidR="00034C0E" w:rsidRDefault="009221B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三、功能区域划分</w:t>
      </w:r>
    </w:p>
    <w:tbl>
      <w:tblPr>
        <w:tblStyle w:val="a3"/>
        <w:tblW w:w="10030" w:type="dxa"/>
        <w:jc w:val="center"/>
        <w:tblInd w:w="-696" w:type="dxa"/>
        <w:tblLayout w:type="fixed"/>
        <w:tblLook w:val="04A0" w:firstRow="1" w:lastRow="0" w:firstColumn="1" w:lastColumn="0" w:noHBand="0" w:noVBand="1"/>
      </w:tblPr>
      <w:tblGrid>
        <w:gridCol w:w="935"/>
        <w:gridCol w:w="1448"/>
        <w:gridCol w:w="6187"/>
        <w:gridCol w:w="1460"/>
      </w:tblGrid>
      <w:tr w:rsidR="00034C0E" w:rsidTr="009221BC">
        <w:trPr>
          <w:trHeight w:val="302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区域</w:t>
            </w:r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位置</w:t>
            </w:r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配置</w:t>
            </w:r>
          </w:p>
        </w:tc>
        <w:tc>
          <w:tcPr>
            <w:tcW w:w="1460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备注</w:t>
            </w:r>
          </w:p>
        </w:tc>
      </w:tr>
      <w:tr w:rsidR="00034C0E" w:rsidTr="009221BC">
        <w:trPr>
          <w:trHeight w:val="302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接待区</w:t>
            </w:r>
            <w:proofErr w:type="gramEnd"/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主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入口处</w:t>
            </w:r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接待台、休息区、信息展示屏、标识系统</w:t>
            </w:r>
          </w:p>
        </w:tc>
        <w:tc>
          <w:tcPr>
            <w:tcW w:w="1460" w:type="dxa"/>
            <w:vAlign w:val="center"/>
          </w:tcPr>
          <w:p w:rsidR="00034C0E" w:rsidRDefault="00034C0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34C0E" w:rsidTr="009221BC">
        <w:trPr>
          <w:trHeight w:val="2008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展示区</w:t>
            </w:r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可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紧邻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接待区</w:t>
            </w:r>
            <w:proofErr w:type="gramEnd"/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形象墙：标志、校训和国际化愿景；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国际化项目展示（电子屏或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LED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）：电子屏或展示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柜展示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与合作院校的项目、交流活动等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录取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offer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展示；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  <w:t xml:space="preserve">4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荣誉墙；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优秀学生案例展示（含国际校友展示、高端职业）；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  <w:t xml:space="preserve">6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国际活动展示；</w:t>
            </w:r>
          </w:p>
        </w:tc>
        <w:tc>
          <w:tcPr>
            <w:tcW w:w="1460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方便访客在进入办公室后依次参观</w:t>
            </w:r>
          </w:p>
        </w:tc>
      </w:tr>
      <w:tr w:rsidR="00034C0E" w:rsidTr="009221BC">
        <w:trPr>
          <w:trHeight w:val="871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洽谈区</w:t>
            </w:r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展示区的末端或靠近办公区的位置</w:t>
            </w:r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1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五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个相对独立的洽谈区，每个洽谈区配备隔音玻璃或隔断；</w:t>
            </w:r>
          </w:p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2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设置茶水区，为访客提供一个舒适的休息和交流空间；</w:t>
            </w:r>
          </w:p>
        </w:tc>
        <w:tc>
          <w:tcPr>
            <w:tcW w:w="1460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方便接待人员引导访客进入洽谈区</w:t>
            </w:r>
          </w:p>
        </w:tc>
      </w:tr>
      <w:tr w:rsidR="00034C0E" w:rsidTr="009221BC">
        <w:trPr>
          <w:trHeight w:val="1155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办公区</w:t>
            </w:r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相对安静的区域，避免受到访客动线的干扰</w:t>
            </w:r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办公区的墙面可以设置白板或展示架；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设置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个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独立办公室（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其中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个是领导办公室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）、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个会议室；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办公室内外都需要大量的资料柜存放历年各省相关资料；</w:t>
            </w:r>
          </w:p>
        </w:tc>
        <w:tc>
          <w:tcPr>
            <w:tcW w:w="1460" w:type="dxa"/>
            <w:vAlign w:val="center"/>
          </w:tcPr>
          <w:p w:rsidR="00034C0E" w:rsidRDefault="00034C0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34C0E" w:rsidTr="009221BC">
        <w:trPr>
          <w:trHeight w:val="1723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直播间</w:t>
            </w:r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相对安静且远离外部干扰的区域</w:t>
            </w:r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将直播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间独立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出来，确保直播时不受外界干扰；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配备专业的直播设备，包括可更换背景的设备、灵活的灯光系统和便于调整的桌椅布局。灯光和声音设备应避免受到外部光源的影响，确保直播效果；</w:t>
            </w:r>
          </w:p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隔音处理：对直播间进行专业的声学处理，确保直播时的声音效果；</w:t>
            </w:r>
          </w:p>
        </w:tc>
        <w:tc>
          <w:tcPr>
            <w:tcW w:w="1460" w:type="dxa"/>
            <w:vAlign w:val="center"/>
          </w:tcPr>
          <w:p w:rsidR="00034C0E" w:rsidRDefault="00034C0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34C0E" w:rsidTr="009221BC">
        <w:trPr>
          <w:trHeight w:val="1155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路演台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宣讲室</w:t>
            </w:r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路演台或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宣讲室应设置在靠近展示区的位置</w:t>
            </w:r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多功能设计：设置一个多功能的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路演台或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宣讲室；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在不举办活动时，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路演台或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宣讲室可以作为开放空间，供学生和访客交流使用；</w:t>
            </w:r>
          </w:p>
        </w:tc>
        <w:tc>
          <w:tcPr>
            <w:tcW w:w="1460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方便举办各类活动</w:t>
            </w:r>
          </w:p>
        </w:tc>
      </w:tr>
      <w:tr w:rsidR="00034C0E" w:rsidTr="009221BC">
        <w:trPr>
          <w:trHeight w:val="1431"/>
          <w:jc w:val="center"/>
        </w:trPr>
        <w:tc>
          <w:tcPr>
            <w:tcW w:w="935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库房</w:t>
            </w:r>
          </w:p>
        </w:tc>
        <w:tc>
          <w:tcPr>
            <w:tcW w:w="1448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靠近装卸区的位置，方便大车和邮件的进出</w:t>
            </w:r>
          </w:p>
        </w:tc>
        <w:tc>
          <w:tcPr>
            <w:tcW w:w="6187" w:type="dxa"/>
            <w:vAlign w:val="center"/>
          </w:tcPr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库房划分为两个区域，一个用于存放普通物品，另一个隔出一个小间用于存放贵重物品。贵重物品存放区应配备安全设施，如保险柜、监控等；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br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在库房内设置清晰的标识系统，方便物品的存放和查找；</w:t>
            </w:r>
          </w:p>
          <w:p w:rsidR="00034C0E" w:rsidRDefault="009221B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放置大量物品隔架；</w:t>
            </w:r>
          </w:p>
        </w:tc>
        <w:tc>
          <w:tcPr>
            <w:tcW w:w="1460" w:type="dxa"/>
            <w:vAlign w:val="center"/>
          </w:tcPr>
          <w:p w:rsidR="00034C0E" w:rsidRDefault="009221B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大于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平米，要放置物料、各类简章、国际化活动桌椅、展架等</w:t>
            </w:r>
          </w:p>
        </w:tc>
      </w:tr>
    </w:tbl>
    <w:p w:rsidR="00034C0E" w:rsidRDefault="00034C0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洽谈区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私密性：设置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个相对独立的洽谈区，每个洽谈区配备</w:t>
      </w:r>
      <w:r>
        <w:rPr>
          <w:rFonts w:ascii="仿宋" w:eastAsia="仿宋" w:hAnsi="仿宋" w:cs="仿宋" w:hint="eastAsia"/>
          <w:sz w:val="28"/>
          <w:szCs w:val="28"/>
        </w:rPr>
        <w:t>软</w:t>
      </w:r>
      <w:r>
        <w:rPr>
          <w:rFonts w:ascii="仿宋" w:eastAsia="仿宋" w:hAnsi="仿宋" w:cs="仿宋" w:hint="eastAsia"/>
          <w:sz w:val="28"/>
          <w:szCs w:val="28"/>
        </w:rPr>
        <w:t>隔断，确保私密性。洽谈区的可以采用简约风格，配备舒适的座椅和必要的办公设备。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风格统一：在满足私密性的同时，洽谈区的装修风格应与整体装修相协调，避免显得突兀。</w:t>
      </w: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库房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分区规划：将库房划分为两个区域，一个用于存放普通物品，另一个隔出一个小间用于存放贵重物品。贵重物品存放区应配备安全设施，如保险柜、监控等。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位置选择：库房的位置应便于大车和邮件的进出，建议设置在靠近装卸区的位置，方便物品的搬运和存储。</w:t>
      </w: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直播间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独立空间：将直播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间独立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出来，设置在相对安静且远离外部干扰的区域。直播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间内部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应进行专业的声学处理，确保直</w:t>
      </w:r>
      <w:r>
        <w:rPr>
          <w:rFonts w:ascii="仿宋" w:eastAsia="仿宋" w:hAnsi="仿宋" w:cs="仿宋" w:hint="eastAsia"/>
          <w:sz w:val="28"/>
          <w:szCs w:val="28"/>
        </w:rPr>
        <w:t>播时的声音效果。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设备布局：配备专业的直播设备，包括可更换背景的设备、灵活的灯光系统和便于调整的桌椅布局。灯光和声音设备应避免受到外部光源的影响，确保直播效果。</w:t>
      </w:r>
    </w:p>
    <w:p w:rsidR="00034C0E" w:rsidRDefault="009221BC">
      <w:pPr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路演台或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宣讲室</w:t>
      </w:r>
    </w:p>
    <w:p w:rsidR="00034C0E" w:rsidRDefault="009221BC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多功能设计：设置一个多功能的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路演台或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宣讲室，既可以用于</w:t>
      </w:r>
      <w:r>
        <w:rPr>
          <w:rFonts w:ascii="仿宋" w:eastAsia="仿宋" w:hAnsi="仿宋" w:cs="仿宋" w:hint="eastAsia"/>
          <w:sz w:val="28"/>
          <w:szCs w:val="28"/>
        </w:rPr>
        <w:t>国际项目</w:t>
      </w:r>
      <w:r>
        <w:rPr>
          <w:rFonts w:ascii="仿宋" w:eastAsia="仿宋" w:hAnsi="仿宋" w:cs="仿宋" w:hint="eastAsia"/>
          <w:sz w:val="28"/>
          <w:szCs w:val="28"/>
        </w:rPr>
        <w:t>的宣讲活动，也可以用于举办小型的</w:t>
      </w:r>
      <w:r>
        <w:rPr>
          <w:rFonts w:ascii="仿宋" w:eastAsia="仿宋" w:hAnsi="仿宋" w:cs="仿宋" w:hint="eastAsia"/>
          <w:sz w:val="28"/>
          <w:szCs w:val="28"/>
        </w:rPr>
        <w:t>国际</w:t>
      </w:r>
      <w:r>
        <w:rPr>
          <w:rFonts w:ascii="仿宋" w:eastAsia="仿宋" w:hAnsi="仿宋" w:cs="仿宋" w:hint="eastAsia"/>
          <w:sz w:val="28"/>
          <w:szCs w:val="28"/>
        </w:rPr>
        <w:t>讲座或</w:t>
      </w:r>
      <w:r>
        <w:rPr>
          <w:rFonts w:ascii="仿宋" w:eastAsia="仿宋" w:hAnsi="仿宋" w:cs="仿宋" w:hint="eastAsia"/>
          <w:sz w:val="28"/>
          <w:szCs w:val="28"/>
        </w:rPr>
        <w:t>国际</w:t>
      </w:r>
      <w:r>
        <w:rPr>
          <w:rFonts w:ascii="仿宋" w:eastAsia="仿宋" w:hAnsi="仿宋" w:cs="仿宋" w:hint="eastAsia"/>
          <w:sz w:val="28"/>
          <w:szCs w:val="28"/>
        </w:rPr>
        <w:t>活动。</w:t>
      </w:r>
    </w:p>
    <w:sectPr w:rsidR="0003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0E"/>
    <w:rsid w:val="00034C0E"/>
    <w:rsid w:val="009221BC"/>
    <w:rsid w:val="0093315F"/>
    <w:rsid w:val="193C50D6"/>
    <w:rsid w:val="1E771F9F"/>
    <w:rsid w:val="203E4004"/>
    <w:rsid w:val="3FAD09AF"/>
    <w:rsid w:val="41B452CA"/>
    <w:rsid w:val="4C3D61CB"/>
    <w:rsid w:val="4DF37F2B"/>
    <w:rsid w:val="524B6EE5"/>
    <w:rsid w:val="65544C8D"/>
    <w:rsid w:val="67F820DB"/>
    <w:rsid w:val="6D5C3804"/>
    <w:rsid w:val="6EB0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wanQs5573_1898222191</dc:creator>
  <cp:lastModifiedBy>1</cp:lastModifiedBy>
  <cp:revision>3</cp:revision>
  <dcterms:created xsi:type="dcterms:W3CDTF">2025-03-24T08:06:00Z</dcterms:created>
  <dcterms:modified xsi:type="dcterms:W3CDTF">2025-03-24T10:15:00Z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